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FINANCIAL REGULATIONS</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General</w:t>
      </w:r>
    </w:p>
    <w:p>
      <w:pPr>
        <w:spacing w:before="60" w:after="120"/>
      </w:pPr>
      <w:r>
        <w:rPr>
          <w:rFonts w:ascii="Arial" w:cs="Arial" w:eastAsia="Arial" w:hAnsi="Arial"/>
          <w:b w:val="false"/>
          <w:bCs w:val="false"/>
          <w:i w:val="false"/>
          <w:iCs w:val="false"/>
          <w:color w:val="000000"/>
          <w:sz w:val="22"/>
          <w:szCs w:val="22"/>
        </w:rPr>
        <w:t xml:space="preserve">These Financial Regulations govern the conduct of financial management by Hart Parish Council and may only be amended by resolution. The Council is responsible in law for ensuring its financial management is adequate and effective and that it has a sound system of financial control, including arrangements for risk management and the prevention and detection of fraud and corruption. These Regulations demonstrate how the Council meets these responsibilities.</w:t>
      </w:r>
    </w:p>
    <w:p>
      <w:pPr>
        <w:spacing w:before="60" w:after="120"/>
      </w:pPr>
      <w:r>
        <w:rPr>
          <w:rFonts w:ascii="Arial" w:cs="Arial" w:eastAsia="Arial" w:hAnsi="Arial"/>
          <w:b w:val="false"/>
          <w:bCs w:val="false"/>
          <w:i w:val="false"/>
          <w:iCs w:val="false"/>
          <w:color w:val="000000"/>
          <w:sz w:val="22"/>
          <w:szCs w:val="22"/>
        </w:rPr>
        <w:t xml:space="preserve">The Responsible Financial Officer (RFO) is a statutory office, currently held by the Clerk. The RFO administers the Council's financial affairs in accordance with proper practices and the Practitioners' Guide ('Governance and Accountability in Local Councils' published jointly by NALC and SLCC, as updated).</w:t>
      </w:r>
    </w:p>
    <w:p>
      <w:pPr>
        <w:spacing w:after="120"/>
      </w:pPr>
    </w:p>
    <w:p>
      <w:pPr>
        <w:spacing w:before="240" w:after="120"/>
      </w:pPr>
      <w:r>
        <w:rPr>
          <w:rFonts w:ascii="Arial" w:cs="Arial" w:eastAsia="Arial" w:hAnsi="Arial"/>
          <w:b/>
          <w:bCs/>
          <w:color w:val="1B5E20"/>
          <w:sz w:val="26"/>
          <w:szCs w:val="26"/>
        </w:rPr>
        <w:t xml:space="preserve">Annual Budget and Precept</w:t>
      </w:r>
    </w:p>
    <w:p>
      <w:pPr>
        <w:pStyle w:val="ListParagraph"/>
        <w:numPr>
          <w:ilvl w:val="0"/>
          <w:numId w:val="2"/>
        </w:numPr>
        <w:spacing w:before="40" w:after="60"/>
      </w:pPr>
      <w:r>
        <w:rPr>
          <w:rFonts w:ascii="Arial" w:cs="Arial" w:eastAsia="Arial" w:hAnsi="Arial"/>
          <w:sz w:val="22"/>
          <w:szCs w:val="22"/>
        </w:rPr>
        <w:t xml:space="preserve">Budget proposals for the following financial year will be prepared by the RFO and considered by the Council no later than the end of January each year.</w:t>
      </w:r>
    </w:p>
    <w:p>
      <w:pPr>
        <w:pStyle w:val="ListParagraph"/>
        <w:numPr>
          <w:ilvl w:val="0"/>
          <w:numId w:val="2"/>
        </w:numPr>
        <w:spacing w:before="40" w:after="60"/>
      </w:pPr>
      <w:r>
        <w:rPr>
          <w:rFonts w:ascii="Arial" w:cs="Arial" w:eastAsia="Arial" w:hAnsi="Arial"/>
          <w:sz w:val="22"/>
          <w:szCs w:val="22"/>
        </w:rPr>
        <w:t xml:space="preserve">The Council will fix the Precept to be levied for the ensuing financial year at that meeting.</w:t>
      </w:r>
    </w:p>
    <w:p>
      <w:pPr>
        <w:pStyle w:val="ListParagraph"/>
        <w:numPr>
          <w:ilvl w:val="0"/>
          <w:numId w:val="2"/>
        </w:numPr>
        <w:spacing w:before="40" w:after="60"/>
      </w:pPr>
      <w:r>
        <w:rPr>
          <w:rFonts w:ascii="Arial" w:cs="Arial" w:eastAsia="Arial" w:hAnsi="Arial"/>
          <w:sz w:val="22"/>
          <w:szCs w:val="22"/>
        </w:rPr>
        <w:t xml:space="preserve">The RFO will issue the precept to Hartlepool Borough Council (billing authority) and supply each member with a copy of the approved budget.</w:t>
      </w:r>
    </w:p>
    <w:p>
      <w:pPr>
        <w:spacing w:after="120"/>
      </w:pPr>
    </w:p>
    <w:p>
      <w:pPr>
        <w:spacing w:before="240" w:after="120"/>
      </w:pPr>
      <w:r>
        <w:rPr>
          <w:rFonts w:ascii="Arial" w:cs="Arial" w:eastAsia="Arial" w:hAnsi="Arial"/>
          <w:b/>
          <w:bCs/>
          <w:color w:val="1B5E20"/>
          <w:sz w:val="26"/>
          <w:szCs w:val="26"/>
        </w:rPr>
        <w:t xml:space="preserve">Budgetary Control</w:t>
      </w:r>
    </w:p>
    <w:p>
      <w:pPr>
        <w:pStyle w:val="ListParagraph"/>
        <w:numPr>
          <w:ilvl w:val="0"/>
          <w:numId w:val="2"/>
        </w:numPr>
        <w:spacing w:before="40" w:after="60"/>
      </w:pPr>
      <w:r>
        <w:rPr>
          <w:rFonts w:ascii="Arial" w:cs="Arial" w:eastAsia="Arial" w:hAnsi="Arial"/>
          <w:sz w:val="22"/>
          <w:szCs w:val="22"/>
        </w:rPr>
        <w:t xml:space="preserve">The RFO will provide the Council with a statement of receipts and payments against budget at least quarterly.</w:t>
      </w:r>
    </w:p>
    <w:p>
      <w:pPr>
        <w:pStyle w:val="ListParagraph"/>
        <w:numPr>
          <w:ilvl w:val="0"/>
          <w:numId w:val="2"/>
        </w:numPr>
        <w:spacing w:before="40" w:after="60"/>
      </w:pPr>
      <w:r>
        <w:rPr>
          <w:rFonts w:ascii="Arial" w:cs="Arial" w:eastAsia="Arial" w:hAnsi="Arial"/>
          <w:sz w:val="22"/>
          <w:szCs w:val="22"/>
        </w:rPr>
        <w:t xml:space="preserve">The Clerk may incur emergency expenditure (necessary repairs or urgent work) up to £50 per instance without prior Council approval.</w:t>
      </w:r>
    </w:p>
    <w:p>
      <w:pPr>
        <w:pStyle w:val="ListParagraph"/>
        <w:numPr>
          <w:ilvl w:val="0"/>
          <w:numId w:val="2"/>
        </w:numPr>
        <w:spacing w:before="40" w:after="60"/>
      </w:pPr>
      <w:r>
        <w:rPr>
          <w:rFonts w:ascii="Arial" w:cs="Arial" w:eastAsia="Arial" w:hAnsi="Arial"/>
          <w:sz w:val="22"/>
          <w:szCs w:val="22"/>
        </w:rPr>
        <w:t xml:space="preserve">The Chairman or a sub-committee may incur expenditure up to £100 between meetings on matters within the approved budget; this must be reported at the next meeting.</w:t>
      </w:r>
    </w:p>
    <w:p>
      <w:pPr>
        <w:pStyle w:val="ListParagraph"/>
        <w:numPr>
          <w:ilvl w:val="0"/>
          <w:numId w:val="2"/>
        </w:numPr>
        <w:spacing w:before="40" w:after="60"/>
      </w:pPr>
      <w:r>
        <w:rPr>
          <w:rFonts w:ascii="Arial" w:cs="Arial" w:eastAsia="Arial" w:hAnsi="Arial"/>
          <w:sz w:val="22"/>
          <w:szCs w:val="22"/>
        </w:rPr>
        <w:t xml:space="preserve">Unspent budget provisions will not be carried forward unless placed in an earmarked reserve by resolution.</w:t>
      </w:r>
    </w:p>
    <w:p>
      <w:pPr>
        <w:spacing w:after="120"/>
      </w:pPr>
    </w:p>
    <w:p>
      <w:pPr>
        <w:spacing w:before="240" w:after="120"/>
      </w:pPr>
      <w:r>
        <w:rPr>
          <w:rFonts w:ascii="Arial" w:cs="Arial" w:eastAsia="Arial" w:hAnsi="Arial"/>
          <w:b/>
          <w:bCs/>
          <w:color w:val="1B5E20"/>
          <w:sz w:val="26"/>
          <w:szCs w:val="26"/>
        </w:rPr>
        <w:t xml:space="preserve">Accounting and Audit</w:t>
      </w:r>
    </w:p>
    <w:p>
      <w:pPr>
        <w:pStyle w:val="ListParagraph"/>
        <w:numPr>
          <w:ilvl w:val="0"/>
          <w:numId w:val="2"/>
        </w:numPr>
        <w:spacing w:before="40" w:after="60"/>
      </w:pPr>
      <w:r>
        <w:rPr>
          <w:rFonts w:ascii="Arial" w:cs="Arial" w:eastAsia="Arial" w:hAnsi="Arial"/>
          <w:sz w:val="22"/>
          <w:szCs w:val="22"/>
        </w:rPr>
        <w:t xml:space="preserve">All accounting procedures will be determined by the RFO in accordance with Accounts and Audit Regulations.</w:t>
      </w:r>
    </w:p>
    <w:p>
      <w:pPr>
        <w:pStyle w:val="ListParagraph"/>
        <w:numPr>
          <w:ilvl w:val="0"/>
          <w:numId w:val="2"/>
        </w:numPr>
        <w:spacing w:before="40" w:after="60"/>
      </w:pPr>
      <w:r>
        <w:rPr>
          <w:rFonts w:ascii="Arial" w:cs="Arial" w:eastAsia="Arial" w:hAnsi="Arial"/>
          <w:sz w:val="22"/>
          <w:szCs w:val="22"/>
        </w:rPr>
        <w:t xml:space="preserve">Annual financial statements will be prepared as soon as practicable after 31 March each year.</w:t>
      </w:r>
    </w:p>
    <w:p>
      <w:pPr>
        <w:pStyle w:val="ListParagraph"/>
        <w:numPr>
          <w:ilvl w:val="0"/>
          <w:numId w:val="2"/>
        </w:numPr>
        <w:spacing w:before="40" w:after="60"/>
      </w:pPr>
      <w:r>
        <w:rPr>
          <w:rFonts w:ascii="Arial" w:cs="Arial" w:eastAsia="Arial" w:hAnsi="Arial"/>
          <w:sz w:val="22"/>
          <w:szCs w:val="22"/>
        </w:rPr>
        <w:t xml:space="preserve">The Annual Governance and Accountability Return (AGAR) will be submitted within statutory timescales.</w:t>
      </w:r>
    </w:p>
    <w:p>
      <w:pPr>
        <w:pStyle w:val="ListParagraph"/>
        <w:numPr>
          <w:ilvl w:val="0"/>
          <w:numId w:val="2"/>
        </w:numPr>
        <w:spacing w:before="40" w:after="60"/>
      </w:pPr>
      <w:r>
        <w:rPr>
          <w:rFonts w:ascii="Arial" w:cs="Arial" w:eastAsia="Arial" w:hAnsi="Arial"/>
          <w:sz w:val="22"/>
          <w:szCs w:val="22"/>
        </w:rPr>
        <w:t xml:space="preserve">Where turnover exceeds £25,000, the AGAR will be returned to the External Auditor.</w:t>
      </w:r>
    </w:p>
    <w:p>
      <w:pPr>
        <w:pStyle w:val="ListParagraph"/>
        <w:numPr>
          <w:ilvl w:val="0"/>
          <w:numId w:val="2"/>
        </w:numPr>
        <w:spacing w:before="40" w:after="60"/>
      </w:pPr>
      <w:r>
        <w:rPr>
          <w:rFonts w:ascii="Arial" w:cs="Arial" w:eastAsia="Arial" w:hAnsi="Arial"/>
          <w:sz w:val="22"/>
          <w:szCs w:val="22"/>
        </w:rPr>
        <w:t xml:space="preserve">Accounts will be published in accordance with the Transparency Code for Smaller Authorities.</w:t>
      </w:r>
    </w:p>
    <w:p>
      <w:pPr>
        <w:pStyle w:val="ListParagraph"/>
        <w:numPr>
          <w:ilvl w:val="0"/>
          <w:numId w:val="2"/>
        </w:numPr>
        <w:spacing w:before="40" w:after="60"/>
      </w:pPr>
      <w:r>
        <w:rPr>
          <w:rFonts w:ascii="Arial" w:cs="Arial" w:eastAsia="Arial" w:hAnsi="Arial"/>
          <w:sz w:val="22"/>
          <w:szCs w:val="22"/>
        </w:rPr>
        <w:t xml:space="preserve">An effective system of internal audit will be maintained; the Internal Auditor will be competent, independent and will report at least annually.</w:t>
      </w:r>
    </w:p>
    <w:p>
      <w:pPr>
        <w:spacing w:after="120"/>
      </w:pPr>
    </w:p>
    <w:p>
      <w:pPr>
        <w:spacing w:before="240" w:after="120"/>
      </w:pPr>
      <w:r>
        <w:rPr>
          <w:rFonts w:ascii="Arial" w:cs="Arial" w:eastAsia="Arial" w:hAnsi="Arial"/>
          <w:b/>
          <w:bCs/>
          <w:color w:val="1B5E20"/>
          <w:sz w:val="26"/>
          <w:szCs w:val="26"/>
        </w:rPr>
        <w:t xml:space="preserve">Banking</w:t>
      </w:r>
    </w:p>
    <w:p>
      <w:pPr>
        <w:pStyle w:val="ListParagraph"/>
        <w:numPr>
          <w:ilvl w:val="0"/>
          <w:numId w:val="2"/>
        </w:numPr>
        <w:spacing w:before="40" w:after="60"/>
      </w:pPr>
      <w:r>
        <w:rPr>
          <w:rFonts w:ascii="Arial" w:cs="Arial" w:eastAsia="Arial" w:hAnsi="Arial"/>
          <w:sz w:val="22"/>
          <w:szCs w:val="22"/>
        </w:rPr>
        <w:t xml:space="preserve">Banking arrangements will be made by the RFO and approved by the Council.</w:t>
      </w:r>
    </w:p>
    <w:p>
      <w:pPr>
        <w:pStyle w:val="ListParagraph"/>
        <w:numPr>
          <w:ilvl w:val="0"/>
          <w:numId w:val="2"/>
        </w:numPr>
        <w:spacing w:before="40" w:after="60"/>
      </w:pPr>
      <w:r>
        <w:rPr>
          <w:rFonts w:ascii="Arial" w:cs="Arial" w:eastAsia="Arial" w:hAnsi="Arial"/>
          <w:sz w:val="22"/>
          <w:szCs w:val="22"/>
        </w:rPr>
        <w:t xml:space="preserve">At the first meeting following the Annual Meeting, at least three cheque signatories will be agreed and minuted.</w:t>
      </w:r>
    </w:p>
    <w:p>
      <w:pPr>
        <w:pStyle w:val="ListParagraph"/>
        <w:numPr>
          <w:ilvl w:val="0"/>
          <w:numId w:val="2"/>
        </w:numPr>
        <w:spacing w:before="40" w:after="60"/>
      </w:pPr>
      <w:r>
        <w:rPr>
          <w:rFonts w:ascii="Arial" w:cs="Arial" w:eastAsia="Arial" w:hAnsi="Arial"/>
          <w:sz w:val="22"/>
          <w:szCs w:val="22"/>
        </w:rPr>
        <w:t xml:space="preserve">All cheques require two authorised signatories.</w:t>
      </w:r>
    </w:p>
    <w:p>
      <w:pPr>
        <w:pStyle w:val="ListParagraph"/>
        <w:numPr>
          <w:ilvl w:val="0"/>
          <w:numId w:val="2"/>
        </w:numPr>
        <w:spacing w:before="40" w:after="60"/>
      </w:pPr>
      <w:r>
        <w:rPr>
          <w:rFonts w:ascii="Arial" w:cs="Arial" w:eastAsia="Arial" w:hAnsi="Arial"/>
          <w:sz w:val="22"/>
          <w:szCs w:val="22"/>
        </w:rPr>
        <w:t xml:space="preserve">All monies received will be banked within 5 working days, so far as practicable.</w:t>
      </w:r>
    </w:p>
    <w:p>
      <w:pPr>
        <w:spacing w:after="120"/>
      </w:pPr>
    </w:p>
    <w:p>
      <w:pPr>
        <w:spacing w:before="240" w:after="120"/>
      </w:pPr>
      <w:r>
        <w:rPr>
          <w:rFonts w:ascii="Arial" w:cs="Arial" w:eastAsia="Arial" w:hAnsi="Arial"/>
          <w:b/>
          <w:bCs/>
          <w:color w:val="1B5E20"/>
          <w:sz w:val="26"/>
          <w:szCs w:val="26"/>
        </w:rPr>
        <w:t xml:space="preserve">Payment of Accounts</w:t>
      </w:r>
    </w:p>
    <w:p>
      <w:pPr>
        <w:pStyle w:val="ListParagraph"/>
        <w:numPr>
          <w:ilvl w:val="0"/>
          <w:numId w:val="2"/>
        </w:numPr>
        <w:spacing w:before="40" w:after="60"/>
      </w:pPr>
      <w:r>
        <w:rPr>
          <w:rFonts w:ascii="Arial" w:cs="Arial" w:eastAsia="Arial" w:hAnsi="Arial"/>
          <w:sz w:val="22"/>
          <w:szCs w:val="22"/>
        </w:rPr>
        <w:t xml:space="preserve">All invoices will be examined, verified and certified by the Clerk before payment.</w:t>
      </w:r>
    </w:p>
    <w:p>
      <w:pPr>
        <w:pStyle w:val="ListParagraph"/>
        <w:numPr>
          <w:ilvl w:val="0"/>
          <w:numId w:val="2"/>
        </w:numPr>
        <w:spacing w:before="40" w:after="60"/>
      </w:pPr>
      <w:r>
        <w:rPr>
          <w:rFonts w:ascii="Arial" w:cs="Arial" w:eastAsia="Arial" w:hAnsi="Arial"/>
          <w:sz w:val="22"/>
          <w:szCs w:val="22"/>
        </w:rPr>
        <w:t xml:space="preserve">The Clerk will take all steps to settle invoices in order promptly, reporting to Council.</w:t>
      </w:r>
    </w:p>
    <w:p>
      <w:pPr>
        <w:pStyle w:val="ListParagraph"/>
        <w:numPr>
          <w:ilvl w:val="0"/>
          <w:numId w:val="2"/>
        </w:numPr>
        <w:spacing w:before="40" w:after="60"/>
      </w:pPr>
      <w:r>
        <w:rPr>
          <w:rFonts w:ascii="Arial" w:cs="Arial" w:eastAsia="Arial" w:hAnsi="Arial"/>
          <w:sz w:val="22"/>
          <w:szCs w:val="22"/>
        </w:rPr>
        <w:t xml:space="preserve">A Petty Cash float of £50 will be maintained by the RFO, supported by vouchers.</w:t>
      </w:r>
    </w:p>
    <w:p>
      <w:pPr>
        <w:spacing w:after="120"/>
      </w:pPr>
    </w:p>
    <w:p>
      <w:pPr>
        <w:spacing w:before="240" w:after="120"/>
      </w:pPr>
      <w:r>
        <w:rPr>
          <w:rFonts w:ascii="Arial" w:cs="Arial" w:eastAsia="Arial" w:hAnsi="Arial"/>
          <w:b/>
          <w:bCs/>
          <w:color w:val="1B5E20"/>
          <w:sz w:val="26"/>
          <w:szCs w:val="26"/>
        </w:rPr>
        <w:t xml:space="preserve">Contracts and Procurement</w:t>
      </w:r>
    </w:p>
    <w:p>
      <w:pPr>
        <w:pStyle w:val="ListParagraph"/>
        <w:numPr>
          <w:ilvl w:val="0"/>
          <w:numId w:val="2"/>
        </w:numPr>
        <w:spacing w:before="40" w:after="60"/>
      </w:pPr>
      <w:r>
        <w:rPr>
          <w:rFonts w:ascii="Arial" w:cs="Arial" w:eastAsia="Arial" w:hAnsi="Arial"/>
          <w:sz w:val="22"/>
          <w:szCs w:val="22"/>
        </w:rPr>
        <w:t xml:space="preserve">Contracts exceeding £1,000 in value require at least three tenders/quotations.</w:t>
      </w:r>
    </w:p>
    <w:p>
      <w:pPr>
        <w:pStyle w:val="ListParagraph"/>
        <w:numPr>
          <w:ilvl w:val="0"/>
          <w:numId w:val="2"/>
        </w:numPr>
        <w:spacing w:before="40" w:after="60"/>
      </w:pPr>
      <w:r>
        <w:rPr>
          <w:rFonts w:ascii="Arial" w:cs="Arial" w:eastAsia="Arial" w:hAnsi="Arial"/>
          <w:sz w:val="22"/>
          <w:szCs w:val="22"/>
        </w:rPr>
        <w:t xml:space="preserve">All formal tenders must be submitted in sealed marked envelopes to the Clerk and opened at a Council meeting.</w:t>
      </w:r>
    </w:p>
    <w:p>
      <w:pPr>
        <w:pStyle w:val="ListParagraph"/>
        <w:numPr>
          <w:ilvl w:val="0"/>
          <w:numId w:val="2"/>
        </w:numPr>
        <w:spacing w:before="40" w:after="60"/>
      </w:pPr>
      <w:r>
        <w:rPr>
          <w:rFonts w:ascii="Arial" w:cs="Arial" w:eastAsia="Arial" w:hAnsi="Arial"/>
          <w:sz w:val="22"/>
          <w:szCs w:val="22"/>
        </w:rPr>
        <w:t xml:space="preserve">The Council is not obliged to accept the lowest tender, quote or estimate.</w:t>
      </w:r>
    </w:p>
    <w:p>
      <w:pPr>
        <w:pStyle w:val="ListParagraph"/>
        <w:numPr>
          <w:ilvl w:val="0"/>
          <w:numId w:val="2"/>
        </w:numPr>
        <w:spacing w:before="40" w:after="60"/>
      </w:pPr>
      <w:r>
        <w:rPr>
          <w:rFonts w:ascii="Arial" w:cs="Arial" w:eastAsia="Arial" w:hAnsi="Arial"/>
          <w:sz w:val="22"/>
          <w:szCs w:val="22"/>
        </w:rPr>
        <w:t xml:space="preserve">Waivers of the competitive tendering requirement must be reported to the Council with reasons.</w:t>
      </w:r>
    </w:p>
    <w:p>
      <w:pPr>
        <w:spacing w:after="120"/>
      </w:pPr>
    </w:p>
    <w:p>
      <w:pPr>
        <w:spacing w:before="240" w:after="120"/>
      </w:pPr>
      <w:r>
        <w:rPr>
          <w:rFonts w:ascii="Arial" w:cs="Arial" w:eastAsia="Arial" w:hAnsi="Arial"/>
          <w:b/>
          <w:bCs/>
          <w:color w:val="1B5E20"/>
          <w:sz w:val="26"/>
          <w:szCs w:val="26"/>
        </w:rPr>
        <w:t xml:space="preserve">Risk and Insurance</w:t>
      </w:r>
    </w:p>
    <w:p>
      <w:pPr>
        <w:pStyle w:val="ListParagraph"/>
        <w:numPr>
          <w:ilvl w:val="0"/>
          <w:numId w:val="2"/>
        </w:numPr>
        <w:spacing w:before="40" w:after="60"/>
      </w:pPr>
      <w:r>
        <w:rPr>
          <w:rFonts w:ascii="Arial" w:cs="Arial" w:eastAsia="Arial" w:hAnsi="Arial"/>
          <w:sz w:val="22"/>
          <w:szCs w:val="22"/>
        </w:rPr>
        <w:t xml:space="preserve">The RFO will effect all insurances and negotiate claims, following annual risk assessment.</w:t>
      </w:r>
    </w:p>
    <w:p>
      <w:pPr>
        <w:pStyle w:val="ListParagraph"/>
        <w:numPr>
          <w:ilvl w:val="0"/>
          <w:numId w:val="2"/>
        </w:numPr>
        <w:spacing w:before="40" w:after="60"/>
      </w:pPr>
      <w:r>
        <w:rPr>
          <w:rFonts w:ascii="Arial" w:cs="Arial" w:eastAsia="Arial" w:hAnsi="Arial"/>
          <w:sz w:val="22"/>
          <w:szCs w:val="22"/>
        </w:rPr>
        <w:t xml:space="preserve">A record of all insurances will be maintained and reviewed annually.</w:t>
      </w:r>
    </w:p>
    <w:p>
      <w:pPr>
        <w:pStyle w:val="ListParagraph"/>
        <w:numPr>
          <w:ilvl w:val="0"/>
          <w:numId w:val="2"/>
        </w:numPr>
        <w:spacing w:before="40" w:after="60"/>
      </w:pPr>
      <w:r>
        <w:rPr>
          <w:rFonts w:ascii="Arial" w:cs="Arial" w:eastAsia="Arial" w:hAnsi="Arial"/>
          <w:sz w:val="22"/>
          <w:szCs w:val="22"/>
        </w:rPr>
        <w:t xml:space="preserve">Risk management policy statements will be reviewed at least annually.</w:t>
      </w:r>
    </w:p>
    <w:p>
      <w:pPr>
        <w:spacing w:after="120"/>
      </w:pPr>
    </w:p>
    <w:p>
      <w:pPr>
        <w:spacing w:before="240" w:after="120"/>
      </w:pPr>
      <w:r>
        <w:rPr>
          <w:rFonts w:ascii="Arial" w:cs="Arial" w:eastAsia="Arial" w:hAnsi="Arial"/>
          <w:b/>
          <w:bCs/>
          <w:color w:val="1B5E20"/>
          <w:sz w:val="26"/>
          <w:szCs w:val="26"/>
        </w:rPr>
        <w:t xml:space="preserve">Transparency</w:t>
      </w:r>
    </w:p>
    <w:p>
      <w:pPr>
        <w:spacing w:before="60" w:after="120"/>
      </w:pPr>
      <w:r>
        <w:rPr>
          <w:rFonts w:ascii="Arial" w:cs="Arial" w:eastAsia="Arial" w:hAnsi="Arial"/>
          <w:b w:val="false"/>
          <w:bCs w:val="false"/>
          <w:i w:val="false"/>
          <w:iCs w:val="false"/>
          <w:color w:val="000000"/>
          <w:sz w:val="22"/>
          <w:szCs w:val="22"/>
        </w:rPr>
        <w:t xml:space="preserve">In accordance with the Transparency Code for Smaller Authorities, the Council will publish: all items of expenditure above £100 (net of recoverable VAT); end of year accounts; annual governance statement; internal audit report; Councillor responsibilities; public land and building assets; and minutes, agendas and meeting papers.</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Local Audit and Accountability Act 2014</w:t>
      </w:r>
    </w:p>
    <w:p>
      <w:pPr>
        <w:pStyle w:val="ListParagraph"/>
        <w:numPr>
          <w:ilvl w:val="0"/>
          <w:numId w:val="2"/>
        </w:numPr>
        <w:spacing w:before="40" w:after="60"/>
      </w:pPr>
      <w:r>
        <w:rPr>
          <w:rFonts w:ascii="Arial" w:cs="Arial" w:eastAsia="Arial" w:hAnsi="Arial"/>
          <w:sz w:val="22"/>
          <w:szCs w:val="22"/>
        </w:rPr>
        <w:t xml:space="preserve">Accounts and Audit (England) Regulations 2015 (SI 2015/234)</w:t>
      </w:r>
    </w:p>
    <w:p>
      <w:pPr>
        <w:pStyle w:val="ListParagraph"/>
        <w:numPr>
          <w:ilvl w:val="0"/>
          <w:numId w:val="2"/>
        </w:numPr>
        <w:spacing w:before="40" w:after="60"/>
      </w:pPr>
      <w:r>
        <w:rPr>
          <w:rFonts w:ascii="Arial" w:cs="Arial" w:eastAsia="Arial" w:hAnsi="Arial"/>
          <w:sz w:val="22"/>
          <w:szCs w:val="22"/>
        </w:rPr>
        <w:t xml:space="preserve">Transparency Code for Smaller Authorities 2015</w:t>
      </w:r>
    </w:p>
    <w:p>
      <w:pPr>
        <w:pStyle w:val="ListParagraph"/>
        <w:numPr>
          <w:ilvl w:val="0"/>
          <w:numId w:val="2"/>
        </w:numPr>
        <w:spacing w:before="40" w:after="60"/>
      </w:pPr>
      <w:r>
        <w:rPr>
          <w:rFonts w:ascii="Arial" w:cs="Arial" w:eastAsia="Arial" w:hAnsi="Arial"/>
          <w:sz w:val="22"/>
          <w:szCs w:val="22"/>
        </w:rPr>
        <w:t xml:space="preserve">Local Government Act 1972 (financial management provisions)</w:t>
      </w:r>
    </w:p>
    <w:p>
      <w:pPr>
        <w:pStyle w:val="ListParagraph"/>
        <w:numPr>
          <w:ilvl w:val="0"/>
          <w:numId w:val="2"/>
        </w:numPr>
        <w:spacing w:before="40" w:after="60"/>
      </w:pPr>
      <w:r>
        <w:rPr>
          <w:rFonts w:ascii="Arial" w:cs="Arial" w:eastAsia="Arial" w:hAnsi="Arial"/>
          <w:sz w:val="22"/>
          <w:szCs w:val="22"/>
        </w:rPr>
        <w:t xml:space="preserve">Governance and Accountability in Local Councils – Practitioners' Guide (NALC/SLCC, current edition)</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Financial Regulations</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2026-03-10T14:29:00.492Z</dcterms:created>
  <dcterms:modified xsi:type="dcterms:W3CDTF">2026-03-10T14:29:00.492Z</dcterms:modified>
</cp:coreProperties>
</file>

<file path=docProps/custom.xml><?xml version="1.0" encoding="utf-8"?>
<Properties xmlns="http://schemas.openxmlformats.org/officeDocument/2006/custom-properties" xmlns:vt="http://schemas.openxmlformats.org/officeDocument/2006/docPropsVTypes"/>
</file>