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PERSISTENT &amp; VEXATIOUS COMPLAINTS POLICY</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Purpose</w:t>
      </w:r>
    </w:p>
    <w:p>
      <w:pPr>
        <w:spacing w:before="60" w:after="120"/>
      </w:pPr>
      <w:r>
        <w:rPr>
          <w:rFonts w:ascii="Arial" w:cs="Arial" w:eastAsia="Arial" w:hAnsi="Arial"/>
          <w:b w:val="false"/>
          <w:bCs w:val="false"/>
          <w:i w:val="false"/>
          <w:iCs w:val="false"/>
          <w:color w:val="000000"/>
          <w:sz w:val="22"/>
          <w:szCs w:val="22"/>
        </w:rPr>
        <w:t xml:space="preserve">Hart Parish Council aims to respond positively and openly to all complaints and enquiries. However, a small minority of individuals may engage in behaviour that is persistent, vexatious, aggressive or abusive. This policy provides a framework for identifying and managing such behaviour proportionately and consistently, while balancing the individual's right of access against the Council's duty to protect its staff and resources.</w:t>
      </w:r>
    </w:p>
    <w:p>
      <w:pPr>
        <w:spacing w:after="120"/>
      </w:pPr>
    </w:p>
    <w:p>
      <w:pPr>
        <w:spacing w:before="240" w:after="120"/>
      </w:pPr>
      <w:r>
        <w:rPr>
          <w:rFonts w:ascii="Arial" w:cs="Arial" w:eastAsia="Arial" w:hAnsi="Arial"/>
          <w:b/>
          <w:bCs/>
          <w:color w:val="1B5E20"/>
          <w:sz w:val="26"/>
          <w:szCs w:val="26"/>
        </w:rPr>
        <w:t xml:space="preserve">Definitions</w:t>
      </w:r>
    </w:p>
    <w:p>
      <w:pPr>
        <w:spacing w:before="60" w:after="120"/>
      </w:pPr>
      <w:r>
        <w:rPr>
          <w:rFonts w:ascii="Arial" w:cs="Arial" w:eastAsia="Arial" w:hAnsi="Arial"/>
          <w:b w:val="false"/>
          <w:bCs w:val="false"/>
          <w:i w:val="false"/>
          <w:iCs w:val="false"/>
          <w:color w:val="000000"/>
          <w:sz w:val="22"/>
          <w:szCs w:val="22"/>
        </w:rPr>
        <w:t xml:space="preserve">Unreasonable behaviour: One or more isolated incidents of unreasonable conduct, or a pattern of 'unreasonably persistent' or 'vexatious' behaviour over a longer period.</w:t>
      </w:r>
    </w:p>
    <w:p>
      <w:pPr>
        <w:spacing w:before="60" w:after="120"/>
      </w:pPr>
      <w:r>
        <w:rPr>
          <w:rFonts w:ascii="Arial" w:cs="Arial" w:eastAsia="Arial" w:hAnsi="Arial"/>
          <w:b w:val="false"/>
          <w:bCs w:val="false"/>
          <w:i w:val="false"/>
          <w:iCs w:val="false"/>
          <w:color w:val="000000"/>
          <w:sz w:val="22"/>
          <w:szCs w:val="22"/>
        </w:rPr>
        <w:t xml:space="preserve">Vexatious: A request or course of conduct brought without sufficient grounds, merely to cause annoyance, disruption or irritation.</w:t>
      </w:r>
    </w:p>
    <w:p>
      <w:pPr>
        <w:spacing w:before="60" w:after="120"/>
      </w:pPr>
      <w:r>
        <w:rPr>
          <w:rFonts w:ascii="Arial" w:cs="Arial" w:eastAsia="Arial" w:hAnsi="Arial"/>
          <w:b w:val="false"/>
          <w:bCs w:val="false"/>
          <w:i w:val="false"/>
          <w:iCs w:val="false"/>
          <w:color w:val="000000"/>
          <w:sz w:val="22"/>
          <w:szCs w:val="22"/>
        </w:rPr>
        <w:t xml:space="preserve">Aggressive or abusive behaviour: Behaviour or language (oral or written, including social media) that causes the Clerk, Councillors or anyone acting on their behalf to feel afraid, threatened or abused.</w:t>
      </w:r>
    </w:p>
    <w:p>
      <w:pPr>
        <w:spacing w:after="120"/>
      </w:pPr>
    </w:p>
    <w:p>
      <w:pPr>
        <w:spacing w:before="240" w:after="120"/>
      </w:pPr>
      <w:r>
        <w:rPr>
          <w:rFonts w:ascii="Arial" w:cs="Arial" w:eastAsia="Arial" w:hAnsi="Arial"/>
          <w:b/>
          <w:bCs/>
          <w:color w:val="1B5E20"/>
          <w:sz w:val="26"/>
          <w:szCs w:val="26"/>
        </w:rPr>
        <w:t xml:space="preserve">Examples of Unacceptable Behaviour</w:t>
      </w:r>
    </w:p>
    <w:p>
      <w:pPr>
        <w:spacing w:before="60" w:after="120"/>
      </w:pPr>
      <w:r>
        <w:rPr>
          <w:rFonts w:ascii="Arial" w:cs="Arial" w:eastAsia="Arial" w:hAnsi="Arial"/>
          <w:b w:val="false"/>
          <w:bCs w:val="false"/>
          <w:i w:val="false"/>
          <w:iCs w:val="false"/>
          <w:color w:val="000000"/>
          <w:sz w:val="22"/>
          <w:szCs w:val="22"/>
        </w:rPr>
        <w:t xml:space="preserve">Behaviour may be considered persistent, vexatious or unreasonable where the individual:</w:t>
      </w:r>
    </w:p>
    <w:p>
      <w:pPr>
        <w:pStyle w:val="ListParagraph"/>
        <w:numPr>
          <w:ilvl w:val="0"/>
          <w:numId w:val="2"/>
        </w:numPr>
        <w:spacing w:before="40" w:after="60"/>
      </w:pPr>
      <w:r>
        <w:rPr>
          <w:rFonts w:ascii="Arial" w:cs="Arial" w:eastAsia="Arial" w:hAnsi="Arial"/>
          <w:sz w:val="22"/>
          <w:szCs w:val="22"/>
        </w:rPr>
        <w:t xml:space="preserve">Refuses to specify the grounds of a complaint despite offers of assistance.</w:t>
      </w:r>
    </w:p>
    <w:p>
      <w:pPr>
        <w:pStyle w:val="ListParagraph"/>
        <w:numPr>
          <w:ilvl w:val="0"/>
          <w:numId w:val="2"/>
        </w:numPr>
        <w:spacing w:before="40" w:after="60"/>
      </w:pPr>
      <w:r>
        <w:rPr>
          <w:rFonts w:ascii="Arial" w:cs="Arial" w:eastAsia="Arial" w:hAnsi="Arial"/>
          <w:sz w:val="22"/>
          <w:szCs w:val="22"/>
        </w:rPr>
        <w:t xml:space="preserve">Refuses to cooperate with the complaints investigation process.</w:t>
      </w:r>
    </w:p>
    <w:p>
      <w:pPr>
        <w:pStyle w:val="ListParagraph"/>
        <w:numPr>
          <w:ilvl w:val="0"/>
          <w:numId w:val="2"/>
        </w:numPr>
        <w:spacing w:before="40" w:after="60"/>
      </w:pPr>
      <w:r>
        <w:rPr>
          <w:rFonts w:ascii="Arial" w:cs="Arial" w:eastAsia="Arial" w:hAnsi="Arial"/>
          <w:sz w:val="22"/>
          <w:szCs w:val="22"/>
        </w:rPr>
        <w:t xml:space="preserve">Insists on incompatible or inappropriate complaints handling methods.</w:t>
      </w:r>
    </w:p>
    <w:p>
      <w:pPr>
        <w:pStyle w:val="ListParagraph"/>
        <w:numPr>
          <w:ilvl w:val="0"/>
          <w:numId w:val="2"/>
        </w:numPr>
        <w:spacing w:before="40" w:after="60"/>
      </w:pPr>
      <w:r>
        <w:rPr>
          <w:rFonts w:ascii="Arial" w:cs="Arial" w:eastAsia="Arial" w:hAnsi="Arial"/>
          <w:sz w:val="22"/>
          <w:szCs w:val="22"/>
        </w:rPr>
        <w:t xml:space="preserve">Makes unjustified complaints about Councillors handling the matter.</w:t>
      </w:r>
    </w:p>
    <w:p>
      <w:pPr>
        <w:pStyle w:val="ListParagraph"/>
        <w:numPr>
          <w:ilvl w:val="0"/>
          <w:numId w:val="2"/>
        </w:numPr>
        <w:spacing w:before="40" w:after="60"/>
      </w:pPr>
      <w:r>
        <w:rPr>
          <w:rFonts w:ascii="Arial" w:cs="Arial" w:eastAsia="Arial" w:hAnsi="Arial"/>
          <w:sz w:val="22"/>
          <w:szCs w:val="22"/>
        </w:rPr>
        <w:t xml:space="preserve">Changes the basis of the complaint as the investigation proceeds.</w:t>
      </w:r>
    </w:p>
    <w:p>
      <w:pPr>
        <w:pStyle w:val="ListParagraph"/>
        <w:numPr>
          <w:ilvl w:val="0"/>
          <w:numId w:val="2"/>
        </w:numPr>
        <w:spacing w:before="40" w:after="60"/>
      </w:pPr>
      <w:r>
        <w:rPr>
          <w:rFonts w:ascii="Arial" w:cs="Arial" w:eastAsia="Arial" w:hAnsi="Arial"/>
          <w:sz w:val="22"/>
          <w:szCs w:val="22"/>
        </w:rPr>
        <w:t xml:space="preserve">Submits falsified documents or introduces irrelevant information.</w:t>
      </w:r>
    </w:p>
    <w:p>
      <w:pPr>
        <w:pStyle w:val="ListParagraph"/>
        <w:numPr>
          <w:ilvl w:val="0"/>
          <w:numId w:val="2"/>
        </w:numPr>
        <w:spacing w:before="40" w:after="60"/>
      </w:pPr>
      <w:r>
        <w:rPr>
          <w:rFonts w:ascii="Arial" w:cs="Arial" w:eastAsia="Arial" w:hAnsi="Arial"/>
          <w:sz w:val="22"/>
          <w:szCs w:val="22"/>
        </w:rPr>
        <w:t xml:space="preserve">Makes excessive demands on Council time through frequent phone calls, emails or letters expecting immediate responses.</w:t>
      </w:r>
    </w:p>
    <w:p>
      <w:pPr>
        <w:pStyle w:val="ListParagraph"/>
        <w:numPr>
          <w:ilvl w:val="0"/>
          <w:numId w:val="2"/>
        </w:numPr>
        <w:spacing w:before="40" w:after="60"/>
      </w:pPr>
      <w:r>
        <w:rPr>
          <w:rFonts w:ascii="Arial" w:cs="Arial" w:eastAsia="Arial" w:hAnsi="Arial"/>
          <w:sz w:val="22"/>
          <w:szCs w:val="22"/>
        </w:rPr>
        <w:t xml:space="preserve">Refuses to accept a decision, repeatedly arguing with no new evidence.</w:t>
      </w:r>
    </w:p>
    <w:p>
      <w:pPr>
        <w:pStyle w:val="ListParagraph"/>
        <w:numPr>
          <w:ilvl w:val="0"/>
          <w:numId w:val="2"/>
        </w:numPr>
        <w:spacing w:before="40" w:after="60"/>
      </w:pPr>
      <w:r>
        <w:rPr>
          <w:rFonts w:ascii="Arial" w:cs="Arial" w:eastAsia="Arial" w:hAnsi="Arial"/>
          <w:sz w:val="22"/>
          <w:szCs w:val="22"/>
        </w:rPr>
        <w:t xml:space="preserve">Uses abusive, threatening or offensive language.</w:t>
      </w:r>
    </w:p>
    <w:p>
      <w:pPr>
        <w:pStyle w:val="ListParagraph"/>
        <w:numPr>
          <w:ilvl w:val="0"/>
          <w:numId w:val="2"/>
        </w:numPr>
        <w:spacing w:before="40" w:after="60"/>
      </w:pPr>
      <w:r>
        <w:rPr>
          <w:rFonts w:ascii="Arial" w:cs="Arial" w:eastAsia="Arial" w:hAnsi="Arial"/>
          <w:sz w:val="22"/>
          <w:szCs w:val="22"/>
        </w:rPr>
        <w:t xml:space="preserve">Covertly records meetings or conversations without consent.</w:t>
      </w:r>
    </w:p>
    <w:p>
      <w:pPr>
        <w:spacing w:after="120"/>
      </w:pPr>
    </w:p>
    <w:p>
      <w:pPr>
        <w:spacing w:before="240" w:after="120"/>
      </w:pPr>
      <w:r>
        <w:rPr>
          <w:rFonts w:ascii="Arial" w:cs="Arial" w:eastAsia="Arial" w:hAnsi="Arial"/>
          <w:b/>
          <w:bCs/>
          <w:color w:val="1B5E20"/>
          <w:sz w:val="26"/>
          <w:szCs w:val="26"/>
        </w:rPr>
        <w:t xml:space="preserve">Stage 1 – Warning</w:t>
      </w:r>
    </w:p>
    <w:p>
      <w:pPr>
        <w:spacing w:before="60" w:after="120"/>
      </w:pPr>
      <w:r>
        <w:rPr>
          <w:rFonts w:ascii="Arial" w:cs="Arial" w:eastAsia="Arial" w:hAnsi="Arial"/>
          <w:b w:val="false"/>
          <w:bCs w:val="false"/>
          <w:i w:val="false"/>
          <w:iCs w:val="false"/>
          <w:color w:val="000000"/>
          <w:sz w:val="22"/>
          <w:szCs w:val="22"/>
        </w:rPr>
        <w:t xml:space="preserve">The Clerk or any Councillor may raise a complaint about unreasonable behaviour with the full Council at its next available meeting (in private session). If the Council resolves that the behaviour meets the required definition, the Clerk will write to the individual explaining that their behaviour is considered unreasonable and requesting a change of approach. A copy of this policy will be enclosed.</w:t>
      </w:r>
    </w:p>
    <w:p>
      <w:pPr>
        <w:spacing w:after="120"/>
      </w:pPr>
    </w:p>
    <w:p>
      <w:pPr>
        <w:spacing w:before="240" w:after="120"/>
      </w:pPr>
      <w:r>
        <w:rPr>
          <w:rFonts w:ascii="Arial" w:cs="Arial" w:eastAsia="Arial" w:hAnsi="Arial"/>
          <w:b/>
          <w:bCs/>
          <w:color w:val="1B5E20"/>
          <w:sz w:val="26"/>
          <w:szCs w:val="26"/>
        </w:rPr>
        <w:t xml:space="preserve">Stage 2 – Sanctions</w:t>
      </w:r>
    </w:p>
    <w:p>
      <w:pPr>
        <w:spacing w:before="60" w:after="120"/>
      </w:pPr>
      <w:r>
        <w:rPr>
          <w:rFonts w:ascii="Arial" w:cs="Arial" w:eastAsia="Arial" w:hAnsi="Arial"/>
          <w:b w:val="false"/>
          <w:bCs w:val="false"/>
          <w:i w:val="false"/>
          <w:iCs w:val="false"/>
          <w:color w:val="000000"/>
          <w:sz w:val="22"/>
          <w:szCs w:val="22"/>
        </w:rPr>
        <w:t xml:space="preserve">If there is no improvement in behaviour, the matter will be referred again to the Council, which will consider whether continued sanctions are appropriate. Sanctions may include:</w:t>
      </w:r>
    </w:p>
    <w:p>
      <w:pPr>
        <w:pStyle w:val="ListParagraph"/>
        <w:numPr>
          <w:ilvl w:val="0"/>
          <w:numId w:val="2"/>
        </w:numPr>
        <w:spacing w:before="40" w:after="60"/>
      </w:pPr>
      <w:r>
        <w:rPr>
          <w:rFonts w:ascii="Arial" w:cs="Arial" w:eastAsia="Arial" w:hAnsi="Arial"/>
          <w:sz w:val="22"/>
          <w:szCs w:val="22"/>
        </w:rPr>
        <w:t xml:space="preserve">A total ban on all communication for a set period.</w:t>
      </w:r>
    </w:p>
    <w:p>
      <w:pPr>
        <w:pStyle w:val="ListParagraph"/>
        <w:numPr>
          <w:ilvl w:val="0"/>
          <w:numId w:val="2"/>
        </w:numPr>
        <w:spacing w:before="40" w:after="60"/>
      </w:pPr>
      <w:r>
        <w:rPr>
          <w:rFonts w:ascii="Arial" w:cs="Arial" w:eastAsia="Arial" w:hAnsi="Arial"/>
          <w:sz w:val="22"/>
          <w:szCs w:val="22"/>
        </w:rPr>
        <w:t xml:space="preserve">Banning contact by telephone.</w:t>
      </w:r>
    </w:p>
    <w:p>
      <w:pPr>
        <w:pStyle w:val="ListParagraph"/>
        <w:numPr>
          <w:ilvl w:val="0"/>
          <w:numId w:val="2"/>
        </w:numPr>
        <w:spacing w:before="40" w:after="60"/>
      </w:pPr>
      <w:r>
        <w:rPr>
          <w:rFonts w:ascii="Arial" w:cs="Arial" w:eastAsia="Arial" w:hAnsi="Arial"/>
          <w:sz w:val="22"/>
          <w:szCs w:val="22"/>
        </w:rPr>
        <w:t xml:space="preserve">Restricting contact to written correspondence only.</w:t>
      </w:r>
    </w:p>
    <w:p>
      <w:pPr>
        <w:pStyle w:val="ListParagraph"/>
        <w:numPr>
          <w:ilvl w:val="0"/>
          <w:numId w:val="2"/>
        </w:numPr>
        <w:spacing w:before="40" w:after="60"/>
      </w:pPr>
      <w:r>
        <w:rPr>
          <w:rFonts w:ascii="Arial" w:cs="Arial" w:eastAsia="Arial" w:hAnsi="Arial"/>
          <w:sz w:val="22"/>
          <w:szCs w:val="22"/>
        </w:rPr>
        <w:t xml:space="preserve">Banning the individual from asking questions or attending Council meetings (not exceeding 12 months).</w:t>
      </w:r>
    </w:p>
    <w:p>
      <w:pPr>
        <w:pStyle w:val="ListParagraph"/>
        <w:numPr>
          <w:ilvl w:val="0"/>
          <w:numId w:val="2"/>
        </w:numPr>
        <w:spacing w:before="40" w:after="60"/>
      </w:pPr>
      <w:r>
        <w:rPr>
          <w:rFonts w:ascii="Arial" w:cs="Arial" w:eastAsia="Arial" w:hAnsi="Arial"/>
          <w:sz w:val="22"/>
          <w:szCs w:val="22"/>
        </w:rPr>
        <w:t xml:space="preserve">Requiring personal contact to take place in the presence of a witness.</w:t>
      </w:r>
    </w:p>
    <w:p>
      <w:pPr>
        <w:spacing w:before="60" w:after="120"/>
      </w:pPr>
      <w:r>
        <w:rPr>
          <w:rFonts w:ascii="Arial" w:cs="Arial" w:eastAsia="Arial" w:hAnsi="Arial"/>
          <w:b w:val="false"/>
          <w:bCs w:val="false"/>
          <w:i w:val="false"/>
          <w:iCs w:val="false"/>
          <w:color w:val="000000"/>
          <w:sz w:val="22"/>
          <w:szCs w:val="22"/>
        </w:rPr>
        <w:t xml:space="preserve">All sanctions will be reviewed at six-monthly intervals.</w:t>
      </w:r>
    </w:p>
    <w:p>
      <w:pPr>
        <w:spacing w:after="120"/>
      </w:pPr>
    </w:p>
    <w:p>
      <w:pPr>
        <w:spacing w:before="240" w:after="120"/>
      </w:pPr>
      <w:r>
        <w:rPr>
          <w:rFonts w:ascii="Arial" w:cs="Arial" w:eastAsia="Arial" w:hAnsi="Arial"/>
          <w:b/>
          <w:bCs/>
          <w:color w:val="1B5E20"/>
          <w:sz w:val="26"/>
          <w:szCs w:val="26"/>
        </w:rPr>
        <w:t xml:space="preserve">Extreme Cases</w:t>
      </w:r>
    </w:p>
    <w:p>
      <w:pPr>
        <w:spacing w:before="60" w:after="120"/>
      </w:pPr>
      <w:r>
        <w:rPr>
          <w:rFonts w:ascii="Arial" w:cs="Arial" w:eastAsia="Arial" w:hAnsi="Arial"/>
          <w:b w:val="false"/>
          <w:bCs w:val="false"/>
          <w:i w:val="false"/>
          <w:iCs w:val="false"/>
          <w:color w:val="000000"/>
          <w:sz w:val="22"/>
          <w:szCs w:val="22"/>
        </w:rPr>
        <w:t xml:space="preserve">Where behaviour is so extreme that it poses an immediate threat to the health or safety of the Clerk, Councillors or anyone acting on their behalf, the Council may immediately cease all contact and pursue civil or criminal proceedings without prior warning.</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Local Government Act 1974 (Local Government Ombudsman jurisdiction)</w:t>
      </w:r>
    </w:p>
    <w:p>
      <w:pPr>
        <w:pStyle w:val="ListParagraph"/>
        <w:numPr>
          <w:ilvl w:val="0"/>
          <w:numId w:val="2"/>
        </w:numPr>
        <w:spacing w:before="40" w:after="60"/>
      </w:pPr>
      <w:r>
        <w:rPr>
          <w:rFonts w:ascii="Arial" w:cs="Arial" w:eastAsia="Arial" w:hAnsi="Arial"/>
          <w:sz w:val="22"/>
          <w:szCs w:val="22"/>
        </w:rPr>
        <w:t xml:space="preserve">Freedom of Information Act 2000 (s.14 – vexatious requests)</w:t>
      </w:r>
    </w:p>
    <w:p>
      <w:pPr>
        <w:pStyle w:val="ListParagraph"/>
        <w:numPr>
          <w:ilvl w:val="0"/>
          <w:numId w:val="2"/>
        </w:numPr>
        <w:spacing w:before="40" w:after="60"/>
      </w:pPr>
      <w:r>
        <w:rPr>
          <w:rFonts w:ascii="Arial" w:cs="Arial" w:eastAsia="Arial" w:hAnsi="Arial"/>
          <w:sz w:val="22"/>
          <w:szCs w:val="22"/>
        </w:rPr>
        <w:t xml:space="preserve">Protection from Harassment Act 1997</w:t>
      </w:r>
    </w:p>
    <w:p>
      <w:pPr>
        <w:pStyle w:val="ListParagraph"/>
        <w:numPr>
          <w:ilvl w:val="0"/>
          <w:numId w:val="2"/>
        </w:numPr>
        <w:spacing w:before="40" w:after="60"/>
      </w:pPr>
      <w:r>
        <w:rPr>
          <w:rFonts w:ascii="Arial" w:cs="Arial" w:eastAsia="Arial" w:hAnsi="Arial"/>
          <w:sz w:val="22"/>
          <w:szCs w:val="22"/>
        </w:rPr>
        <w:t xml:space="preserve">Human Rights Act 1998 (Articles 6 and 8)</w:t>
      </w:r>
    </w:p>
    <w:p>
      <w:pPr>
        <w:pStyle w:val="ListParagraph"/>
        <w:numPr>
          <w:ilvl w:val="0"/>
          <w:numId w:val="2"/>
        </w:numPr>
        <w:spacing w:before="40" w:after="60"/>
      </w:pPr>
      <w:r>
        <w:rPr>
          <w:rFonts w:ascii="Arial" w:cs="Arial" w:eastAsia="Arial" w:hAnsi="Arial"/>
          <w:sz w:val="22"/>
          <w:szCs w:val="22"/>
        </w:rPr>
        <w:t xml:space="preserve">UK GDPR and Data Protection Act 2018</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Persistent &amp; Vexatious Complaints Policy</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2026-03-10T14:29:00.589Z</dcterms:created>
  <dcterms:modified xsi:type="dcterms:W3CDTF">2026-03-10T14:29:00.589Z</dcterms:modified>
</cp:coreProperties>
</file>

<file path=docProps/custom.xml><?xml version="1.0" encoding="utf-8"?>
<Properties xmlns="http://schemas.openxmlformats.org/officeDocument/2006/custom-properties" xmlns:vt="http://schemas.openxmlformats.org/officeDocument/2006/docPropsVTypes"/>
</file>