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DISCIPLINARY PROCEDURE</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Introduction</w:t>
      </w:r>
    </w:p>
    <w:p>
      <w:pPr>
        <w:spacing w:before="60" w:after="120"/>
      </w:pPr>
      <w:r>
        <w:rPr>
          <w:rFonts w:ascii="Arial" w:cs="Arial" w:eastAsia="Arial" w:hAnsi="Arial"/>
          <w:b w:val="false"/>
          <w:bCs w:val="false"/>
          <w:i w:val="false"/>
          <w:iCs w:val="false"/>
          <w:color w:val="000000"/>
          <w:sz w:val="22"/>
          <w:szCs w:val="22"/>
        </w:rPr>
        <w:t xml:space="preserve">Hart Parish Council normally employs one member of staff, the Clerk. This procedure has been designed to reflect that fact. It is based on the ACAS Code of Practice on Disciplinary and Grievance Procedures 2015 (updated 2024) and complies with the Employment Rights Act 1996.</w:t>
      </w:r>
    </w:p>
    <w:p>
      <w:pPr>
        <w:spacing w:after="120"/>
      </w:pPr>
    </w:p>
    <w:p>
      <w:pPr>
        <w:spacing w:before="240" w:after="120"/>
      </w:pPr>
      <w:r>
        <w:rPr>
          <w:rFonts w:ascii="Arial" w:cs="Arial" w:eastAsia="Arial" w:hAnsi="Arial"/>
          <w:b/>
          <w:bCs/>
          <w:color w:val="1B5E20"/>
          <w:sz w:val="26"/>
          <w:szCs w:val="26"/>
        </w:rPr>
        <w:t xml:space="preserve">Principles</w:t>
      </w:r>
    </w:p>
    <w:p>
      <w:pPr>
        <w:pStyle w:val="ListParagraph"/>
        <w:numPr>
          <w:ilvl w:val="0"/>
          <w:numId w:val="2"/>
        </w:numPr>
        <w:spacing w:before="40" w:after="60"/>
      </w:pPr>
      <w:r>
        <w:rPr>
          <w:rFonts w:ascii="Arial" w:cs="Arial" w:eastAsia="Arial" w:hAnsi="Arial"/>
          <w:sz w:val="22"/>
          <w:szCs w:val="22"/>
        </w:rPr>
        <w:t xml:space="preserve">No disciplinary action will be taken without full investigation.</w:t>
      </w:r>
    </w:p>
    <w:p>
      <w:pPr>
        <w:pStyle w:val="ListParagraph"/>
        <w:numPr>
          <w:ilvl w:val="0"/>
          <w:numId w:val="2"/>
        </w:numPr>
        <w:spacing w:before="40" w:after="60"/>
      </w:pPr>
      <w:r>
        <w:rPr>
          <w:rFonts w:ascii="Arial" w:cs="Arial" w:eastAsia="Arial" w:hAnsi="Arial"/>
          <w:sz w:val="22"/>
          <w:szCs w:val="22"/>
        </w:rPr>
        <w:t xml:space="preserve">The Clerk will be informed of the nature of the complaint and advised of the right to be accompanied.</w:t>
      </w:r>
    </w:p>
    <w:p>
      <w:pPr>
        <w:pStyle w:val="ListParagraph"/>
        <w:numPr>
          <w:ilvl w:val="0"/>
          <w:numId w:val="2"/>
        </w:numPr>
        <w:spacing w:before="40" w:after="60"/>
      </w:pPr>
      <w:r>
        <w:rPr>
          <w:rFonts w:ascii="Arial" w:cs="Arial" w:eastAsia="Arial" w:hAnsi="Arial"/>
          <w:sz w:val="22"/>
          <w:szCs w:val="22"/>
        </w:rPr>
        <w:t xml:space="preserve">The Clerk will not be dismissed for a first breach of discipline except in cases of gross misconduct.</w:t>
      </w:r>
    </w:p>
    <w:p>
      <w:pPr>
        <w:pStyle w:val="ListParagraph"/>
        <w:numPr>
          <w:ilvl w:val="0"/>
          <w:numId w:val="2"/>
        </w:numPr>
        <w:spacing w:before="40" w:after="60"/>
      </w:pPr>
      <w:r>
        <w:rPr>
          <w:rFonts w:ascii="Arial" w:cs="Arial" w:eastAsia="Arial" w:hAnsi="Arial"/>
          <w:sz w:val="22"/>
          <w:szCs w:val="22"/>
        </w:rPr>
        <w:t xml:space="preserve">The Clerk has the right to appeal against any disciplinary penalty.</w:t>
      </w:r>
    </w:p>
    <w:p>
      <w:pPr>
        <w:pStyle w:val="ListParagraph"/>
        <w:numPr>
          <w:ilvl w:val="0"/>
          <w:numId w:val="2"/>
        </w:numPr>
        <w:spacing w:before="40" w:after="60"/>
      </w:pPr>
      <w:r>
        <w:rPr>
          <w:rFonts w:ascii="Arial" w:cs="Arial" w:eastAsia="Arial" w:hAnsi="Arial"/>
          <w:sz w:val="22"/>
          <w:szCs w:val="22"/>
        </w:rPr>
        <w:t xml:space="preserve">All proceedings will be conducted fairly and without discrimination.</w:t>
      </w:r>
    </w:p>
    <w:p>
      <w:pPr>
        <w:spacing w:after="120"/>
      </w:pPr>
    </w:p>
    <w:p>
      <w:pPr>
        <w:spacing w:before="240" w:after="120"/>
      </w:pPr>
      <w:r>
        <w:rPr>
          <w:rFonts w:ascii="Arial" w:cs="Arial" w:eastAsia="Arial" w:hAnsi="Arial"/>
          <w:b/>
          <w:bCs/>
          <w:color w:val="1B5E20"/>
          <w:sz w:val="26"/>
          <w:szCs w:val="26"/>
        </w:rPr>
        <w:t xml:space="preserve">Misconduct</w:t>
      </w:r>
    </w:p>
    <w:p>
      <w:pPr>
        <w:spacing w:before="60" w:after="120"/>
      </w:pPr>
      <w:r>
        <w:rPr>
          <w:rFonts w:ascii="Arial" w:cs="Arial" w:eastAsia="Arial" w:hAnsi="Arial"/>
          <w:b w:val="false"/>
          <w:bCs w:val="false"/>
          <w:i w:val="false"/>
          <w:iCs w:val="false"/>
          <w:color w:val="000000"/>
          <w:sz w:val="22"/>
          <w:szCs w:val="22"/>
        </w:rPr>
        <w:t xml:space="preserve">Examples of misconduct (not exhaustive): poor timekeeping, unauthorised absence, failure to follow reasonable instructions, neglect of duties, or minor competence issues.</w:t>
      </w:r>
    </w:p>
    <w:p>
      <w:pPr>
        <w:spacing w:after="120"/>
      </w:pPr>
    </w:p>
    <w:p>
      <w:pPr>
        <w:spacing w:before="240" w:after="120"/>
      </w:pPr>
      <w:r>
        <w:rPr>
          <w:rFonts w:ascii="Arial" w:cs="Arial" w:eastAsia="Arial" w:hAnsi="Arial"/>
          <w:b/>
          <w:bCs/>
          <w:color w:val="1B5E20"/>
          <w:sz w:val="26"/>
          <w:szCs w:val="26"/>
        </w:rPr>
        <w:t xml:space="preserve">Gross Misconduct</w:t>
      </w:r>
    </w:p>
    <w:p>
      <w:pPr>
        <w:spacing w:before="60" w:after="120"/>
      </w:pPr>
      <w:r>
        <w:rPr>
          <w:rFonts w:ascii="Arial" w:cs="Arial" w:eastAsia="Arial" w:hAnsi="Arial"/>
          <w:b w:val="false"/>
          <w:bCs w:val="false"/>
          <w:i w:val="false"/>
          <w:iCs w:val="false"/>
          <w:color w:val="000000"/>
          <w:sz w:val="22"/>
          <w:szCs w:val="22"/>
        </w:rPr>
        <w:t xml:space="preserve">Examples of gross misconduct (not exhaustive): fraud, theft, dishonesty, deliberate misuse of Council property or funds, falsification of records, serious breach of data protection, fighting, discrimination or harassment, bringing the Council into serious disrepute, or any act of serious insubordination.</w:t>
      </w:r>
    </w:p>
    <w:p>
      <w:pPr>
        <w:spacing w:before="60" w:after="120"/>
      </w:pPr>
      <w:r>
        <w:rPr>
          <w:rFonts w:ascii="Arial" w:cs="Arial" w:eastAsia="Arial" w:hAnsi="Arial"/>
          <w:b w:val="false"/>
          <w:bCs w:val="false"/>
          <w:i w:val="false"/>
          <w:iCs w:val="false"/>
          <w:color w:val="000000"/>
          <w:sz w:val="22"/>
          <w:szCs w:val="22"/>
        </w:rPr>
        <w:t xml:space="preserve">Dismissal without notice may apply in cases of gross misconduct following investigation and a hearing.</w:t>
      </w:r>
    </w:p>
    <w:p>
      <w:pPr>
        <w:spacing w:after="120"/>
      </w:pPr>
    </w:p>
    <w:p>
      <w:pPr>
        <w:spacing w:before="240" w:after="120"/>
      </w:pPr>
      <w:r>
        <w:rPr>
          <w:rFonts w:ascii="Arial" w:cs="Arial" w:eastAsia="Arial" w:hAnsi="Arial"/>
          <w:b/>
          <w:bCs/>
          <w:color w:val="1B5E20"/>
          <w:sz w:val="26"/>
          <w:szCs w:val="26"/>
        </w:rPr>
        <w:t xml:space="preserve">Informal Action</w:t>
      </w:r>
    </w:p>
    <w:p>
      <w:pPr>
        <w:spacing w:before="60" w:after="120"/>
      </w:pPr>
      <w:r>
        <w:rPr>
          <w:rFonts w:ascii="Arial" w:cs="Arial" w:eastAsia="Arial" w:hAnsi="Arial"/>
          <w:b w:val="false"/>
          <w:bCs w:val="false"/>
          <w:i w:val="false"/>
          <w:iCs w:val="false"/>
          <w:color w:val="000000"/>
          <w:sz w:val="22"/>
          <w:szCs w:val="22"/>
        </w:rPr>
        <w:t xml:space="preserve">Minor misconduct will, wherever possible, be addressed informally by the Chairman in a confidential one-to-one meeting with the Clerk. This may result in advice, coaching or an oral warning.</w:t>
      </w:r>
    </w:p>
    <w:p>
      <w:pPr>
        <w:spacing w:after="120"/>
      </w:pPr>
    </w:p>
    <w:p>
      <w:pPr>
        <w:spacing w:before="240" w:after="120"/>
      </w:pPr>
      <w:r>
        <w:rPr>
          <w:rFonts w:ascii="Arial" w:cs="Arial" w:eastAsia="Arial" w:hAnsi="Arial"/>
          <w:b/>
          <w:bCs/>
          <w:color w:val="1B5E20"/>
          <w:sz w:val="26"/>
          <w:szCs w:val="26"/>
        </w:rPr>
        <w:t xml:space="preserve">Formal Procedure</w:t>
      </w:r>
    </w:p>
    <w:p>
      <w:pPr>
        <w:spacing w:before="60" w:after="120"/>
      </w:pPr>
      <w:r>
        <w:rPr>
          <w:rFonts w:ascii="Arial" w:cs="Arial" w:eastAsia="Arial" w:hAnsi="Arial"/>
          <w:b w:val="false"/>
          <w:bCs w:val="false"/>
          <w:i w:val="false"/>
          <w:iCs w:val="false"/>
          <w:color w:val="000000"/>
          <w:sz w:val="22"/>
          <w:szCs w:val="22"/>
        </w:rPr>
        <w:t xml:space="preserve">Stage 1 – Written Warning: For serious misconduct, or where informal action has not resolved the matter, a Written Warning will be issued. This will normally remain on file for 12 months.</w:t>
      </w:r>
    </w:p>
    <w:p>
      <w:pPr>
        <w:spacing w:before="60" w:after="120"/>
      </w:pPr>
      <w:r>
        <w:rPr>
          <w:rFonts w:ascii="Arial" w:cs="Arial" w:eastAsia="Arial" w:hAnsi="Arial"/>
          <w:b w:val="false"/>
          <w:bCs w:val="false"/>
          <w:i w:val="false"/>
          <w:iCs w:val="false"/>
          <w:color w:val="000000"/>
          <w:sz w:val="22"/>
          <w:szCs w:val="22"/>
        </w:rPr>
        <w:t xml:space="preserve">Stage 2 – Final Written Warning: If conduct does not improve, or the misconduct is sufficiently serious, a Final Written Warning will be issued, warning that dismissal will result if there is no satisfactory improvement. This will normally remain on file for 12 months.</w:t>
      </w:r>
    </w:p>
    <w:p>
      <w:pPr>
        <w:spacing w:before="60" w:after="120"/>
      </w:pPr>
      <w:r>
        <w:rPr>
          <w:rFonts w:ascii="Arial" w:cs="Arial" w:eastAsia="Arial" w:hAnsi="Arial"/>
          <w:b w:val="false"/>
          <w:bCs w:val="false"/>
          <w:i w:val="false"/>
          <w:iCs w:val="false"/>
          <w:color w:val="000000"/>
          <w:sz w:val="22"/>
          <w:szCs w:val="22"/>
        </w:rPr>
        <w:t xml:space="preserve">Stage 3 – Dismissal or Other Sanction: If conduct remains unsatisfactory, or where Gross Misconduct has occurred, dismissal may result. In cases of Gross Misconduct, dismissal will normally be without notice.</w:t>
      </w:r>
    </w:p>
    <w:p>
      <w:pPr>
        <w:spacing w:after="120"/>
      </w:pPr>
    </w:p>
    <w:p>
      <w:pPr>
        <w:spacing w:before="240" w:after="120"/>
      </w:pPr>
      <w:r>
        <w:rPr>
          <w:rFonts w:ascii="Arial" w:cs="Arial" w:eastAsia="Arial" w:hAnsi="Arial"/>
          <w:b/>
          <w:bCs/>
          <w:color w:val="1B5E20"/>
          <w:sz w:val="26"/>
          <w:szCs w:val="26"/>
        </w:rPr>
        <w:t xml:space="preserve">Disciplinary Hearings</w:t>
      </w:r>
    </w:p>
    <w:p>
      <w:pPr>
        <w:spacing w:before="60" w:after="120"/>
      </w:pPr>
      <w:r>
        <w:rPr>
          <w:rFonts w:ascii="Arial" w:cs="Arial" w:eastAsia="Arial" w:hAnsi="Arial"/>
          <w:b w:val="false"/>
          <w:bCs w:val="false"/>
          <w:i w:val="false"/>
          <w:iCs w:val="false"/>
          <w:color w:val="000000"/>
          <w:sz w:val="22"/>
          <w:szCs w:val="22"/>
        </w:rPr>
        <w:t xml:space="preserve">The Clerk will be invited in writing to attend a meeting of the Council's Disciplinary and Complaints Sub-Committee. The letter will set out the nature of the allegation. The meeting will normally be held within 5 working days of the letter being sent (where practicable). At the hearing, the Chair of the panel will state the complaint, present evidence, and give the Clerk a full opportunity to respond, present evidence and call witnesses (with advance notice).</w:t>
      </w:r>
    </w:p>
    <w:p>
      <w:pPr>
        <w:spacing w:after="120"/>
      </w:pPr>
    </w:p>
    <w:p>
      <w:pPr>
        <w:spacing w:before="240" w:after="120"/>
      </w:pPr>
      <w:r>
        <w:rPr>
          <w:rFonts w:ascii="Arial" w:cs="Arial" w:eastAsia="Arial" w:hAnsi="Arial"/>
          <w:b/>
          <w:bCs/>
          <w:color w:val="1B5E20"/>
          <w:sz w:val="26"/>
          <w:szCs w:val="26"/>
        </w:rPr>
        <w:t xml:space="preserve">Suspension</w:t>
      </w:r>
    </w:p>
    <w:p>
      <w:pPr>
        <w:spacing w:before="60" w:after="120"/>
      </w:pPr>
      <w:r>
        <w:rPr>
          <w:rFonts w:ascii="Arial" w:cs="Arial" w:eastAsia="Arial" w:hAnsi="Arial"/>
          <w:b w:val="false"/>
          <w:bCs w:val="false"/>
          <w:i w:val="false"/>
          <w:iCs w:val="false"/>
          <w:color w:val="000000"/>
          <w:sz w:val="22"/>
          <w:szCs w:val="22"/>
        </w:rPr>
        <w:t xml:space="preserve">The Clerk may be suspended on full pay, either to enable investigation to take place or in cases of alleged gross misconduct. Suspension is a neutral act and does not imply guilt.</w:t>
      </w:r>
    </w:p>
    <w:p>
      <w:pPr>
        <w:spacing w:after="120"/>
      </w:pPr>
    </w:p>
    <w:p>
      <w:pPr>
        <w:spacing w:before="240" w:after="120"/>
      </w:pPr>
      <w:r>
        <w:rPr>
          <w:rFonts w:ascii="Arial" w:cs="Arial" w:eastAsia="Arial" w:hAnsi="Arial"/>
          <w:b/>
          <w:bCs/>
          <w:color w:val="1B5E20"/>
          <w:sz w:val="26"/>
          <w:szCs w:val="26"/>
        </w:rPr>
        <w:t xml:space="preserve">Appeals</w:t>
      </w:r>
    </w:p>
    <w:p>
      <w:pPr>
        <w:spacing w:before="60" w:after="120"/>
      </w:pPr>
      <w:r>
        <w:rPr>
          <w:rFonts w:ascii="Arial" w:cs="Arial" w:eastAsia="Arial" w:hAnsi="Arial"/>
          <w:b w:val="false"/>
          <w:bCs w:val="false"/>
          <w:i w:val="false"/>
          <w:iCs w:val="false"/>
          <w:color w:val="000000"/>
          <w:sz w:val="22"/>
          <w:szCs w:val="22"/>
        </w:rPr>
        <w:t xml:space="preserve">The Clerk has the right of appeal following any stage of the formal procedure. Appeals will be heard by a separate panel of elected members not involved in the original hearing. The decision of the Appeal Panel will be final in the first instance, without prejudice to the Clerk's statutory employment rights.</w:t>
      </w:r>
    </w:p>
    <w:p>
      <w:pPr>
        <w:spacing w:after="120"/>
      </w:pPr>
    </w:p>
    <w:p>
      <w:pPr>
        <w:spacing w:before="240" w:after="120"/>
      </w:pPr>
      <w:r>
        <w:rPr>
          <w:rFonts w:ascii="Arial" w:cs="Arial" w:eastAsia="Arial" w:hAnsi="Arial"/>
          <w:b/>
          <w:bCs/>
          <w:color w:val="1B5E20"/>
          <w:sz w:val="26"/>
          <w:szCs w:val="26"/>
        </w:rPr>
        <w:t xml:space="preserve">Right to be Accompanied</w:t>
      </w:r>
    </w:p>
    <w:p>
      <w:pPr>
        <w:spacing w:before="60" w:after="120"/>
      </w:pPr>
      <w:r>
        <w:rPr>
          <w:rFonts w:ascii="Arial" w:cs="Arial" w:eastAsia="Arial" w:hAnsi="Arial"/>
          <w:b w:val="false"/>
          <w:bCs w:val="false"/>
          <w:i w:val="false"/>
          <w:iCs w:val="false"/>
          <w:color w:val="000000"/>
          <w:sz w:val="22"/>
          <w:szCs w:val="22"/>
        </w:rPr>
        <w:t xml:space="preserve">Under the Employment Relations Act 1999, the Clerk has the right to be accompanied by a fellow worker or trade union representative at all stages of the formal procedure.</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Employment Rights Act 1996</w:t>
      </w:r>
    </w:p>
    <w:p>
      <w:pPr>
        <w:pStyle w:val="ListParagraph"/>
        <w:numPr>
          <w:ilvl w:val="0"/>
          <w:numId w:val="2"/>
        </w:numPr>
        <w:spacing w:before="40" w:after="60"/>
      </w:pPr>
      <w:r>
        <w:rPr>
          <w:rFonts w:ascii="Arial" w:cs="Arial" w:eastAsia="Arial" w:hAnsi="Arial"/>
          <w:sz w:val="22"/>
          <w:szCs w:val="22"/>
        </w:rPr>
        <w:t xml:space="preserve">Employment Relations Act 1999</w:t>
      </w:r>
    </w:p>
    <w:p>
      <w:pPr>
        <w:pStyle w:val="ListParagraph"/>
        <w:numPr>
          <w:ilvl w:val="0"/>
          <w:numId w:val="2"/>
        </w:numPr>
        <w:spacing w:before="40" w:after="60"/>
      </w:pPr>
      <w:r>
        <w:rPr>
          <w:rFonts w:ascii="Arial" w:cs="Arial" w:eastAsia="Arial" w:hAnsi="Arial"/>
          <w:sz w:val="22"/>
          <w:szCs w:val="22"/>
        </w:rPr>
        <w:t xml:space="preserve">Equality Act 2010</w:t>
      </w:r>
    </w:p>
    <w:p>
      <w:pPr>
        <w:pStyle w:val="ListParagraph"/>
        <w:numPr>
          <w:ilvl w:val="0"/>
          <w:numId w:val="2"/>
        </w:numPr>
        <w:spacing w:before="40" w:after="60"/>
      </w:pPr>
      <w:r>
        <w:rPr>
          <w:rFonts w:ascii="Arial" w:cs="Arial" w:eastAsia="Arial" w:hAnsi="Arial"/>
          <w:sz w:val="22"/>
          <w:szCs w:val="22"/>
        </w:rPr>
        <w:t xml:space="preserve">ACAS Code of Practice on Disciplinary and Grievance Procedures (2015, updated 2024)</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Disciplinary Procedure</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2026-03-10T14:29:00.405Z</dcterms:created>
  <dcterms:modified xsi:type="dcterms:W3CDTF">2026-03-10T14:29:00.405Z</dcterms:modified>
</cp:coreProperties>
</file>

<file path=docProps/custom.xml><?xml version="1.0" encoding="utf-8"?>
<Properties xmlns="http://schemas.openxmlformats.org/officeDocument/2006/custom-properties" xmlns:vt="http://schemas.openxmlformats.org/officeDocument/2006/docPropsVTypes"/>
</file>