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GRIEVANCE PROCEDURE</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Purpose and Scope</w:t>
      </w:r>
    </w:p>
    <w:p>
      <w:pPr>
        <w:spacing w:before="60" w:after="120"/>
      </w:pPr>
      <w:r>
        <w:rPr>
          <w:rFonts w:ascii="Arial" w:cs="Arial" w:eastAsia="Arial" w:hAnsi="Arial"/>
          <w:b w:val="false"/>
          <w:bCs w:val="false"/>
          <w:i w:val="false"/>
          <w:iCs w:val="false"/>
          <w:color w:val="000000"/>
          <w:sz w:val="22"/>
          <w:szCs w:val="22"/>
        </w:rPr>
        <w:t xml:space="preserve">Hart Parish Council recognises that employees may, from time to time, have concerns or grievances about their employment. This procedure provides a fair and prompt means of resolving such matters. It applies to the Clerk (and any other directly employed staff) and is based on the ACAS Code of Practice on Disciplinary and Grievance Procedures.</w:t>
      </w:r>
    </w:p>
    <w:p>
      <w:pPr>
        <w:spacing w:after="120"/>
      </w:pPr>
    </w:p>
    <w:p>
      <w:pPr>
        <w:spacing w:before="240" w:after="120"/>
      </w:pPr>
      <w:r>
        <w:rPr>
          <w:rFonts w:ascii="Arial" w:cs="Arial" w:eastAsia="Arial" w:hAnsi="Arial"/>
          <w:b/>
          <w:bCs/>
          <w:color w:val="1B5E20"/>
          <w:sz w:val="26"/>
          <w:szCs w:val="26"/>
        </w:rPr>
        <w:t xml:space="preserve">Principles</w:t>
      </w:r>
    </w:p>
    <w:p>
      <w:pPr>
        <w:pStyle w:val="ListParagraph"/>
        <w:numPr>
          <w:ilvl w:val="0"/>
          <w:numId w:val="2"/>
        </w:numPr>
        <w:spacing w:before="40" w:after="60"/>
      </w:pPr>
      <w:r>
        <w:rPr>
          <w:rFonts w:ascii="Arial" w:cs="Arial" w:eastAsia="Arial" w:hAnsi="Arial"/>
          <w:sz w:val="22"/>
          <w:szCs w:val="22"/>
        </w:rPr>
        <w:t xml:space="preserve">Grievances will be dealt with promptly, fairly and consistently.</w:t>
      </w:r>
    </w:p>
    <w:p>
      <w:pPr>
        <w:pStyle w:val="ListParagraph"/>
        <w:numPr>
          <w:ilvl w:val="0"/>
          <w:numId w:val="2"/>
        </w:numPr>
        <w:spacing w:before="40" w:after="60"/>
      </w:pPr>
      <w:r>
        <w:rPr>
          <w:rFonts w:ascii="Arial" w:cs="Arial" w:eastAsia="Arial" w:hAnsi="Arial"/>
          <w:sz w:val="22"/>
          <w:szCs w:val="22"/>
        </w:rPr>
        <w:t xml:space="preserve">Employees will not suffer any detriment for raising a grievance in good faith.</w:t>
      </w:r>
    </w:p>
    <w:p>
      <w:pPr>
        <w:pStyle w:val="ListParagraph"/>
        <w:numPr>
          <w:ilvl w:val="0"/>
          <w:numId w:val="2"/>
        </w:numPr>
        <w:spacing w:before="40" w:after="60"/>
      </w:pPr>
      <w:r>
        <w:rPr>
          <w:rFonts w:ascii="Arial" w:cs="Arial" w:eastAsia="Arial" w:hAnsi="Arial"/>
          <w:sz w:val="22"/>
          <w:szCs w:val="22"/>
        </w:rPr>
        <w:t xml:space="preserve">Confidentiality will be maintained as far as reasonably practicable.</w:t>
      </w:r>
    </w:p>
    <w:p>
      <w:pPr>
        <w:pStyle w:val="ListParagraph"/>
        <w:numPr>
          <w:ilvl w:val="0"/>
          <w:numId w:val="2"/>
        </w:numPr>
        <w:spacing w:before="40" w:after="60"/>
      </w:pPr>
      <w:r>
        <w:rPr>
          <w:rFonts w:ascii="Arial" w:cs="Arial" w:eastAsia="Arial" w:hAnsi="Arial"/>
          <w:sz w:val="22"/>
          <w:szCs w:val="22"/>
        </w:rPr>
        <w:t xml:space="preserve">The employee has the right to be accompanied at all formal stages.</w:t>
      </w:r>
    </w:p>
    <w:p>
      <w:pPr>
        <w:spacing w:after="120"/>
      </w:pPr>
    </w:p>
    <w:p>
      <w:pPr>
        <w:spacing w:before="240" w:after="120"/>
      </w:pPr>
      <w:r>
        <w:rPr>
          <w:rFonts w:ascii="Arial" w:cs="Arial" w:eastAsia="Arial" w:hAnsi="Arial"/>
          <w:b/>
          <w:bCs/>
          <w:color w:val="1B5E20"/>
          <w:sz w:val="26"/>
          <w:szCs w:val="26"/>
        </w:rPr>
        <w:t xml:space="preserve">Informal Resolution</w:t>
      </w:r>
    </w:p>
    <w:p>
      <w:pPr>
        <w:spacing w:before="60" w:after="120"/>
      </w:pPr>
      <w:r>
        <w:rPr>
          <w:rFonts w:ascii="Arial" w:cs="Arial" w:eastAsia="Arial" w:hAnsi="Arial"/>
          <w:b w:val="false"/>
          <w:bCs w:val="false"/>
          <w:i w:val="false"/>
          <w:iCs w:val="false"/>
          <w:color w:val="000000"/>
          <w:sz w:val="22"/>
          <w:szCs w:val="22"/>
        </w:rPr>
        <w:t xml:space="preserve">Where possible, the employee is encouraged to resolve concerns informally by raising the matter with the Chairman (or another Councillor if the Chairman is involved). Many issues can be resolved at this stage through open discussion.</w:t>
      </w:r>
    </w:p>
    <w:p>
      <w:pPr>
        <w:spacing w:after="120"/>
      </w:pPr>
    </w:p>
    <w:p>
      <w:pPr>
        <w:spacing w:before="240" w:after="120"/>
      </w:pPr>
      <w:r>
        <w:rPr>
          <w:rFonts w:ascii="Arial" w:cs="Arial" w:eastAsia="Arial" w:hAnsi="Arial"/>
          <w:b/>
          <w:bCs/>
          <w:color w:val="1B5E20"/>
          <w:sz w:val="26"/>
          <w:szCs w:val="26"/>
        </w:rPr>
        <w:t xml:space="preserve">Formal Procedure</w:t>
      </w:r>
    </w:p>
    <w:p>
      <w:pPr>
        <w:spacing w:before="60" w:after="120"/>
      </w:pPr>
      <w:r>
        <w:rPr>
          <w:rFonts w:ascii="Arial" w:cs="Arial" w:eastAsia="Arial" w:hAnsi="Arial"/>
          <w:b w:val="false"/>
          <w:bCs w:val="false"/>
          <w:i w:val="false"/>
          <w:iCs w:val="false"/>
          <w:color w:val="000000"/>
          <w:sz w:val="22"/>
          <w:szCs w:val="22"/>
        </w:rPr>
        <w:t xml:space="preserve">Step 1 – Written Grievance: Where informal resolution is not possible, the employee should submit a written grievance to the Chairman (or a nominated Councillor if the Chairman is involved). The written grievance should set out the nature of the concern clearly.</w:t>
      </w:r>
    </w:p>
    <w:p>
      <w:pPr>
        <w:spacing w:before="60" w:after="120"/>
      </w:pPr>
      <w:r>
        <w:rPr>
          <w:rFonts w:ascii="Arial" w:cs="Arial" w:eastAsia="Arial" w:hAnsi="Arial"/>
          <w:b w:val="false"/>
          <w:bCs w:val="false"/>
          <w:i w:val="false"/>
          <w:iCs w:val="false"/>
          <w:color w:val="000000"/>
          <w:sz w:val="22"/>
          <w:szCs w:val="22"/>
        </w:rPr>
        <w:t xml:space="preserve">Step 2 – Grievance Hearing: The Disciplinary and Complaints Sub-Committee will consider the grievance normally within 10 working days of receipt. At the hearing, the employee may explain their grievance and call witnesses (with advance notice). The Sub-Committee will notify the employee of its decision in writing, with reasons.</w:t>
      </w:r>
    </w:p>
    <w:p>
      <w:pPr>
        <w:spacing w:before="60" w:after="120"/>
      </w:pPr>
      <w:r>
        <w:rPr>
          <w:rFonts w:ascii="Arial" w:cs="Arial" w:eastAsia="Arial" w:hAnsi="Arial"/>
          <w:b w:val="false"/>
          <w:bCs w:val="false"/>
          <w:i w:val="false"/>
          <w:iCs w:val="false"/>
          <w:color w:val="000000"/>
          <w:sz w:val="22"/>
          <w:szCs w:val="22"/>
        </w:rPr>
        <w:t xml:space="preserve">Step 3 – Appeal: If the employee remains dissatisfied, they may appeal within 5 working days of receiving the decision. The appeal will be heard by a separate panel of Councillors not involved in the original hearing. The appeal panel's decision will be final at Council level, without prejudice to the employee's statutory rights.</w:t>
      </w:r>
    </w:p>
    <w:p>
      <w:pPr>
        <w:spacing w:after="120"/>
      </w:pPr>
    </w:p>
    <w:p>
      <w:pPr>
        <w:spacing w:before="240" w:after="120"/>
      </w:pPr>
      <w:r>
        <w:rPr>
          <w:rFonts w:ascii="Arial" w:cs="Arial" w:eastAsia="Arial" w:hAnsi="Arial"/>
          <w:b/>
          <w:bCs/>
          <w:color w:val="1B5E20"/>
          <w:sz w:val="26"/>
          <w:szCs w:val="26"/>
        </w:rPr>
        <w:t xml:space="preserve">Right to be Accompanied</w:t>
      </w:r>
    </w:p>
    <w:p>
      <w:pPr>
        <w:spacing w:before="60" w:after="120"/>
      </w:pPr>
      <w:r>
        <w:rPr>
          <w:rFonts w:ascii="Arial" w:cs="Arial" w:eastAsia="Arial" w:hAnsi="Arial"/>
          <w:b w:val="false"/>
          <w:bCs w:val="false"/>
          <w:i w:val="false"/>
          <w:iCs w:val="false"/>
          <w:color w:val="000000"/>
          <w:sz w:val="22"/>
          <w:szCs w:val="22"/>
        </w:rPr>
        <w:t xml:space="preserve">Under the Employment Relations Act 1999, the employee has the right to be accompanied by a fellow worker or trade union representative at all formal stages of this procedure.</w:t>
      </w:r>
    </w:p>
    <w:p>
      <w:pPr>
        <w:spacing w:after="120"/>
      </w:pPr>
    </w:p>
    <w:p>
      <w:pPr>
        <w:spacing w:before="240" w:after="120"/>
      </w:pPr>
      <w:r>
        <w:rPr>
          <w:rFonts w:ascii="Arial" w:cs="Arial" w:eastAsia="Arial" w:hAnsi="Arial"/>
          <w:b/>
          <w:bCs/>
          <w:color w:val="1B5E20"/>
          <w:sz w:val="26"/>
          <w:szCs w:val="26"/>
        </w:rPr>
        <w:t xml:space="preserve">Record Keeping</w:t>
      </w:r>
    </w:p>
    <w:p>
      <w:pPr>
        <w:spacing w:before="60" w:after="120"/>
      </w:pPr>
      <w:r>
        <w:rPr>
          <w:rFonts w:ascii="Arial" w:cs="Arial" w:eastAsia="Arial" w:hAnsi="Arial"/>
          <w:b w:val="false"/>
          <w:bCs w:val="false"/>
          <w:i w:val="false"/>
          <w:iCs w:val="false"/>
          <w:color w:val="000000"/>
          <w:sz w:val="22"/>
          <w:szCs w:val="22"/>
        </w:rPr>
        <w:t xml:space="preserve">Written records of the nature of the grievance, the Council's response, action taken, details of any appeal and subsequent developments will be retained in accordance with the Data Protection Act 2018 and the Council's Data Protection Policy.</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Employment Rights Act 1996</w:t>
      </w:r>
    </w:p>
    <w:p>
      <w:pPr>
        <w:pStyle w:val="ListParagraph"/>
        <w:numPr>
          <w:ilvl w:val="0"/>
          <w:numId w:val="2"/>
        </w:numPr>
        <w:spacing w:before="40" w:after="60"/>
      </w:pPr>
      <w:r>
        <w:rPr>
          <w:rFonts w:ascii="Arial" w:cs="Arial" w:eastAsia="Arial" w:hAnsi="Arial"/>
          <w:sz w:val="22"/>
          <w:szCs w:val="22"/>
        </w:rPr>
        <w:t xml:space="preserve">Employment Relations Act 1999 (right to be accompanied)</w:t>
      </w:r>
    </w:p>
    <w:p>
      <w:pPr>
        <w:pStyle w:val="ListParagraph"/>
        <w:numPr>
          <w:ilvl w:val="0"/>
          <w:numId w:val="2"/>
        </w:numPr>
        <w:spacing w:before="40" w:after="60"/>
      </w:pPr>
      <w:r>
        <w:rPr>
          <w:rFonts w:ascii="Arial" w:cs="Arial" w:eastAsia="Arial" w:hAnsi="Arial"/>
          <w:sz w:val="22"/>
          <w:szCs w:val="22"/>
        </w:rPr>
        <w:t xml:space="preserve">Equality Act 2010</w:t>
      </w:r>
    </w:p>
    <w:p>
      <w:pPr>
        <w:pStyle w:val="ListParagraph"/>
        <w:numPr>
          <w:ilvl w:val="0"/>
          <w:numId w:val="2"/>
        </w:numPr>
        <w:spacing w:before="40" w:after="60"/>
      </w:pPr>
      <w:r>
        <w:rPr>
          <w:rFonts w:ascii="Arial" w:cs="Arial" w:eastAsia="Arial" w:hAnsi="Arial"/>
          <w:sz w:val="22"/>
          <w:szCs w:val="22"/>
        </w:rPr>
        <w:t xml:space="preserve">ACAS Code of Practice on Disciplinary and Grievance Procedures (2015, updated 2024)</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Grievance Procedure</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2026-03-10T14:29:00.565Z</dcterms:created>
  <dcterms:modified xsi:type="dcterms:W3CDTF">2026-03-10T14:29:00.565Z</dcterms:modified>
</cp:coreProperties>
</file>

<file path=docProps/custom.xml><?xml version="1.0" encoding="utf-8"?>
<Properties xmlns="http://schemas.openxmlformats.org/officeDocument/2006/custom-properties" xmlns:vt="http://schemas.openxmlformats.org/officeDocument/2006/docPropsVTypes"/>
</file>