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5E20" w:val="clear"/>
        <w:spacing w:before="0" w:after="0"/>
        <w:ind w:left="200" w:right="200"/>
      </w:pPr>
      <w:r>
        <w:rPr>
          <w:rFonts w:ascii="Arial" w:cs="Arial" w:eastAsia="Arial" w:hAnsi="Arial"/>
          <w:b/>
          <w:bCs/>
          <w:color w:val="FFFFFF"/>
          <w:sz w:val="36"/>
          <w:szCs w:val="36"/>
        </w:rPr>
        <w:t xml:space="preserve">DIGNITY AT WORK – BULLYING &amp; HARASSMENT POLICY</w:t>
      </w:r>
    </w:p>
    <w:p>
      <w:pPr>
        <w:shd w:fill="2E7D32" w:val="clear"/>
        <w:spacing w:before="0" w:after="240"/>
        <w:ind w:left="200"/>
      </w:pPr>
      <w:r>
        <w:rPr>
          <w:rFonts w:ascii="Arial" w:cs="Arial" w:eastAsia="Arial" w:hAnsi="Arial"/>
          <w:color w:val="FFFFFF"/>
          <w:sz w:val="18"/>
          <w:szCs w:val="18"/>
        </w:rPr>
        <w:t xml:space="preserve">Hart Parish Council  |  Adopted: March 2026  |  Review: January 2027</w:t>
      </w:r>
    </w:p>
    <w:p>
      <w:pPr>
        <w:spacing w:after="200"/>
      </w:pPr>
    </w:p>
    <w:p>
      <w:pPr>
        <w:spacing w:before="240" w:after="120"/>
      </w:pPr>
      <w:r>
        <w:rPr>
          <w:rFonts w:ascii="Arial" w:cs="Arial" w:eastAsia="Arial" w:hAnsi="Arial"/>
          <w:b/>
          <w:bCs/>
          <w:color w:val="1B5E20"/>
          <w:sz w:val="26"/>
          <w:szCs w:val="26"/>
        </w:rPr>
        <w:t xml:space="preserve">Purpose and Scope</w:t>
      </w:r>
    </w:p>
    <w:p>
      <w:pPr>
        <w:spacing w:before="60" w:after="120"/>
      </w:pPr>
      <w:r>
        <w:rPr>
          <w:rFonts w:ascii="Arial" w:cs="Arial" w:eastAsia="Arial" w:hAnsi="Arial"/>
          <w:b w:val="false"/>
          <w:bCs w:val="false"/>
          <w:i w:val="false"/>
          <w:iCs w:val="false"/>
          <w:color w:val="000000"/>
          <w:sz w:val="22"/>
          <w:szCs w:val="22"/>
        </w:rPr>
        <w:t xml:space="preserve">Hart Parish Council is committed to providing a working environment where all employees, Councillors, contractors, visitors and members of the public are treated with dignity and respect. The Council will not tolerate any form of bullying or harassment. This policy applies to all conduct in the course of Council business, including at meetings, online and via social media.</w:t>
      </w:r>
    </w:p>
    <w:p>
      <w:pPr>
        <w:spacing w:after="120"/>
      </w:pPr>
    </w:p>
    <w:p>
      <w:pPr>
        <w:spacing w:before="240" w:after="120"/>
      </w:pPr>
      <w:r>
        <w:rPr>
          <w:rFonts w:ascii="Arial" w:cs="Arial" w:eastAsia="Arial" w:hAnsi="Arial"/>
          <w:b/>
          <w:bCs/>
          <w:color w:val="1B5E20"/>
          <w:sz w:val="26"/>
          <w:szCs w:val="26"/>
        </w:rPr>
        <w:t xml:space="preserve">Definitions</w:t>
      </w:r>
    </w:p>
    <w:p>
      <w:pPr>
        <w:spacing w:before="60" w:after="120"/>
      </w:pPr>
      <w:r>
        <w:rPr>
          <w:rFonts w:ascii="Arial" w:cs="Arial" w:eastAsia="Arial" w:hAnsi="Arial"/>
          <w:b w:val="false"/>
          <w:bCs w:val="false"/>
          <w:i w:val="false"/>
          <w:iCs w:val="false"/>
          <w:color w:val="000000"/>
          <w:sz w:val="22"/>
          <w:szCs w:val="22"/>
        </w:rPr>
        <w:t xml:space="preserve">Bullying is a pattern of offensive, intimidating, malicious, insulting or humiliating behaviour; an abuse or misuse of power or authority which tends to undermine an individual or group, gradually eroding their confidence and capability, which may cause stress.</w:t>
      </w:r>
    </w:p>
    <w:p>
      <w:pPr>
        <w:spacing w:before="60" w:after="120"/>
      </w:pPr>
      <w:r>
        <w:rPr>
          <w:rFonts w:ascii="Arial" w:cs="Arial" w:eastAsia="Arial" w:hAnsi="Arial"/>
          <w:b w:val="false"/>
          <w:bCs w:val="false"/>
          <w:i w:val="false"/>
          <w:iCs w:val="false"/>
          <w:color w:val="000000"/>
          <w:sz w:val="22"/>
          <w:szCs w:val="22"/>
        </w:rPr>
        <w:t xml:space="preserve">Harassment is unwanted conduct that violates a person's dignity or creates an intimidating, hostile, degrading, humiliating or offensive environment. Under the Equality Act 2010, harassment is unlawful where it is related to a protected characteristic: age, disability, gender reassignment, marriage/civil partnership, pregnancy/maternity, race, religion or belief, sex, or sexual orientation.</w:t>
      </w:r>
    </w:p>
    <w:p>
      <w:pPr>
        <w:spacing w:before="60" w:after="120"/>
      </w:pPr>
      <w:r>
        <w:rPr>
          <w:rFonts w:ascii="Arial" w:cs="Arial" w:eastAsia="Arial" w:hAnsi="Arial"/>
          <w:b w:val="false"/>
          <w:bCs w:val="false"/>
          <w:i w:val="false"/>
          <w:iCs w:val="false"/>
          <w:color w:val="000000"/>
          <w:sz w:val="22"/>
          <w:szCs w:val="22"/>
        </w:rPr>
        <w:t xml:space="preserve">Third-party harassment: The Council acknowledges its duty to protect employees from harassment by third parties (members of the public, contractors etc.) in accordance with the Worker Protection (Amendment of Equality Act 2010) Act 2023.</w:t>
      </w:r>
    </w:p>
    <w:p>
      <w:pPr>
        <w:spacing w:after="120"/>
      </w:pPr>
    </w:p>
    <w:p>
      <w:pPr>
        <w:spacing w:before="240" w:after="120"/>
      </w:pPr>
      <w:r>
        <w:rPr>
          <w:rFonts w:ascii="Arial" w:cs="Arial" w:eastAsia="Arial" w:hAnsi="Arial"/>
          <w:b/>
          <w:bCs/>
          <w:color w:val="1B5E20"/>
          <w:sz w:val="26"/>
          <w:szCs w:val="26"/>
        </w:rPr>
        <w:t xml:space="preserve">Examples of Unacceptable Behaviour</w:t>
      </w:r>
    </w:p>
    <w:p>
      <w:pPr>
        <w:spacing w:before="60" w:after="120"/>
      </w:pPr>
      <w:r>
        <w:rPr>
          <w:rFonts w:ascii="Arial" w:cs="Arial" w:eastAsia="Arial" w:hAnsi="Arial"/>
          <w:b w:val="false"/>
          <w:bCs w:val="false"/>
          <w:i w:val="false"/>
          <w:iCs w:val="false"/>
          <w:color w:val="000000"/>
          <w:sz w:val="22"/>
          <w:szCs w:val="22"/>
        </w:rPr>
        <w:t xml:space="preserve">The following (non-exhaustive) list illustrates unacceptable behaviour:</w:t>
      </w:r>
    </w:p>
    <w:p>
      <w:pPr>
        <w:pStyle w:val="ListParagraph"/>
        <w:numPr>
          <w:ilvl w:val="0"/>
          <w:numId w:val="2"/>
        </w:numPr>
        <w:spacing w:before="40" w:after="60"/>
      </w:pPr>
      <w:r>
        <w:rPr>
          <w:rFonts w:ascii="Arial" w:cs="Arial" w:eastAsia="Arial" w:hAnsi="Arial"/>
          <w:sz w:val="22"/>
          <w:szCs w:val="22"/>
        </w:rPr>
        <w:t xml:space="preserve">Spreading malicious rumours or insulting someone.</w:t>
      </w:r>
    </w:p>
    <w:p>
      <w:pPr>
        <w:pStyle w:val="ListParagraph"/>
        <w:numPr>
          <w:ilvl w:val="0"/>
          <w:numId w:val="2"/>
        </w:numPr>
        <w:spacing w:before="40" w:after="60"/>
      </w:pPr>
      <w:r>
        <w:rPr>
          <w:rFonts w:ascii="Arial" w:cs="Arial" w:eastAsia="Arial" w:hAnsi="Arial"/>
          <w:sz w:val="22"/>
          <w:szCs w:val="22"/>
        </w:rPr>
        <w:t xml:space="preserve">Ridiculing, demeaning or excluding someone.</w:t>
      </w:r>
    </w:p>
    <w:p>
      <w:pPr>
        <w:pStyle w:val="ListParagraph"/>
        <w:numPr>
          <w:ilvl w:val="0"/>
          <w:numId w:val="2"/>
        </w:numPr>
        <w:spacing w:before="40" w:after="60"/>
      </w:pPr>
      <w:r>
        <w:rPr>
          <w:rFonts w:ascii="Arial" w:cs="Arial" w:eastAsia="Arial" w:hAnsi="Arial"/>
          <w:sz w:val="22"/>
          <w:szCs w:val="22"/>
        </w:rPr>
        <w:t xml:space="preserve">Unfair treatment or misuse of power or position.</w:t>
      </w:r>
    </w:p>
    <w:p>
      <w:pPr>
        <w:pStyle w:val="ListParagraph"/>
        <w:numPr>
          <w:ilvl w:val="0"/>
          <w:numId w:val="2"/>
        </w:numPr>
        <w:spacing w:before="40" w:after="60"/>
      </w:pPr>
      <w:r>
        <w:rPr>
          <w:rFonts w:ascii="Arial" w:cs="Arial" w:eastAsia="Arial" w:hAnsi="Arial"/>
          <w:sz w:val="22"/>
          <w:szCs w:val="22"/>
        </w:rPr>
        <w:t xml:space="preserve">Unwelcome sexual advances or comments.</w:t>
      </w:r>
    </w:p>
    <w:p>
      <w:pPr>
        <w:pStyle w:val="ListParagraph"/>
        <w:numPr>
          <w:ilvl w:val="0"/>
          <w:numId w:val="2"/>
        </w:numPr>
        <w:spacing w:before="40" w:after="60"/>
      </w:pPr>
      <w:r>
        <w:rPr>
          <w:rFonts w:ascii="Arial" w:cs="Arial" w:eastAsia="Arial" w:hAnsi="Arial"/>
          <w:sz w:val="22"/>
          <w:szCs w:val="22"/>
        </w:rPr>
        <w:t xml:space="preserve">Making threats about job security or physical violence.</w:t>
      </w:r>
    </w:p>
    <w:p>
      <w:pPr>
        <w:pStyle w:val="ListParagraph"/>
        <w:numPr>
          <w:ilvl w:val="0"/>
          <w:numId w:val="2"/>
        </w:numPr>
        <w:spacing w:before="40" w:after="60"/>
      </w:pPr>
      <w:r>
        <w:rPr>
          <w:rFonts w:ascii="Arial" w:cs="Arial" w:eastAsia="Arial" w:hAnsi="Arial"/>
          <w:sz w:val="22"/>
          <w:szCs w:val="22"/>
        </w:rPr>
        <w:t xml:space="preserve">Deliberately undermining a competent worker through constant criticism or excessive workloads.</w:t>
      </w:r>
    </w:p>
    <w:p>
      <w:pPr>
        <w:pStyle w:val="ListParagraph"/>
        <w:numPr>
          <w:ilvl w:val="0"/>
          <w:numId w:val="2"/>
        </w:numPr>
        <w:spacing w:before="40" w:after="60"/>
      </w:pPr>
      <w:r>
        <w:rPr>
          <w:rFonts w:ascii="Arial" w:cs="Arial" w:eastAsia="Arial" w:hAnsi="Arial"/>
          <w:sz w:val="22"/>
          <w:szCs w:val="22"/>
        </w:rPr>
        <w:t xml:space="preserve">Offensive behaviour via social media, email or written communication.</w:t>
      </w:r>
    </w:p>
    <w:p>
      <w:pPr>
        <w:spacing w:after="120"/>
      </w:pPr>
    </w:p>
    <w:p>
      <w:pPr>
        <w:spacing w:before="240" w:after="120"/>
      </w:pPr>
      <w:r>
        <w:rPr>
          <w:rFonts w:ascii="Arial" w:cs="Arial" w:eastAsia="Arial" w:hAnsi="Arial"/>
          <w:b/>
          <w:bCs/>
          <w:color w:val="1B5E20"/>
          <w:sz w:val="26"/>
          <w:szCs w:val="26"/>
        </w:rPr>
        <w:t xml:space="preserve">Legal Framework</w:t>
      </w:r>
    </w:p>
    <w:p>
      <w:pPr>
        <w:pStyle w:val="ListParagraph"/>
        <w:numPr>
          <w:ilvl w:val="0"/>
          <w:numId w:val="2"/>
        </w:numPr>
        <w:spacing w:before="40" w:after="60"/>
      </w:pPr>
      <w:r>
        <w:rPr>
          <w:rFonts w:ascii="Arial" w:cs="Arial" w:eastAsia="Arial" w:hAnsi="Arial"/>
          <w:sz w:val="22"/>
          <w:szCs w:val="22"/>
        </w:rPr>
        <w:t xml:space="preserve">Equality Act 2010 (protected characteristics and harassment provisions).</w:t>
      </w:r>
    </w:p>
    <w:p>
      <w:pPr>
        <w:pStyle w:val="ListParagraph"/>
        <w:numPr>
          <w:ilvl w:val="0"/>
          <w:numId w:val="2"/>
        </w:numPr>
        <w:spacing w:before="40" w:after="60"/>
      </w:pPr>
      <w:r>
        <w:rPr>
          <w:rFonts w:ascii="Arial" w:cs="Arial" w:eastAsia="Arial" w:hAnsi="Arial"/>
          <w:sz w:val="22"/>
          <w:szCs w:val="22"/>
        </w:rPr>
        <w:t xml:space="preserve">Worker Protection (Amendment of Equality Act 2010) Act 2023 – duty to take reasonable steps to prevent sexual harassment.</w:t>
      </w:r>
    </w:p>
    <w:p>
      <w:pPr>
        <w:pStyle w:val="ListParagraph"/>
        <w:numPr>
          <w:ilvl w:val="0"/>
          <w:numId w:val="2"/>
        </w:numPr>
        <w:spacing w:before="40" w:after="60"/>
      </w:pPr>
      <w:r>
        <w:rPr>
          <w:rFonts w:ascii="Arial" w:cs="Arial" w:eastAsia="Arial" w:hAnsi="Arial"/>
          <w:sz w:val="22"/>
          <w:szCs w:val="22"/>
        </w:rPr>
        <w:t xml:space="preserve">Employment Rights Act 1996 – constructive dismissal provisions.</w:t>
      </w:r>
    </w:p>
    <w:p>
      <w:pPr>
        <w:pStyle w:val="ListParagraph"/>
        <w:numPr>
          <w:ilvl w:val="0"/>
          <w:numId w:val="2"/>
        </w:numPr>
        <w:spacing w:before="40" w:after="60"/>
      </w:pPr>
      <w:r>
        <w:rPr>
          <w:rFonts w:ascii="Arial" w:cs="Arial" w:eastAsia="Arial" w:hAnsi="Arial"/>
          <w:sz w:val="22"/>
          <w:szCs w:val="22"/>
        </w:rPr>
        <w:t xml:space="preserve">Protection from Harassment Act 1997 – civil and criminal liability.</w:t>
      </w:r>
    </w:p>
    <w:p>
      <w:pPr>
        <w:pStyle w:val="ListParagraph"/>
        <w:numPr>
          <w:ilvl w:val="0"/>
          <w:numId w:val="2"/>
        </w:numPr>
        <w:spacing w:before="40" w:after="60"/>
      </w:pPr>
      <w:r>
        <w:rPr>
          <w:rFonts w:ascii="Arial" w:cs="Arial" w:eastAsia="Arial" w:hAnsi="Arial"/>
          <w:sz w:val="22"/>
          <w:szCs w:val="22"/>
        </w:rPr>
        <w:t xml:space="preserve">Health and Safety at Work Act 1974 – duty of care.</w:t>
      </w:r>
    </w:p>
    <w:p>
      <w:pPr>
        <w:spacing w:after="120"/>
      </w:pPr>
    </w:p>
    <w:p>
      <w:pPr>
        <w:spacing w:before="240" w:after="120"/>
      </w:pPr>
      <w:r>
        <w:rPr>
          <w:rFonts w:ascii="Arial" w:cs="Arial" w:eastAsia="Arial" w:hAnsi="Arial"/>
          <w:b/>
          <w:bCs/>
          <w:color w:val="1B5E20"/>
          <w:sz w:val="26"/>
          <w:szCs w:val="26"/>
        </w:rPr>
        <w:t xml:space="preserve">Informal Resolution</w:t>
      </w:r>
    </w:p>
    <w:p>
      <w:pPr>
        <w:spacing w:before="60" w:after="120"/>
      </w:pPr>
      <w:r>
        <w:rPr>
          <w:rFonts w:ascii="Arial" w:cs="Arial" w:eastAsia="Arial" w:hAnsi="Arial"/>
          <w:b w:val="false"/>
          <w:bCs w:val="false"/>
          <w:i w:val="false"/>
          <w:iCs w:val="false"/>
          <w:color w:val="000000"/>
          <w:sz w:val="22"/>
          <w:szCs w:val="22"/>
        </w:rPr>
        <w:t xml:space="preserve">Any person who feels they are being bullied or harassed is encouraged to resolve the matter informally in the first instance. It may be sufficient to explain to the person(s) involved that their conduct is unacceptable, offensive or causing discomfort. Individuals are encouraged to keep a record of incidents (dates, times, witnesses and what occurred).</w:t>
      </w:r>
    </w:p>
    <w:p>
      <w:pPr>
        <w:spacing w:after="120"/>
      </w:pPr>
    </w:p>
    <w:p>
      <w:pPr>
        <w:spacing w:before="240" w:after="120"/>
      </w:pPr>
      <w:r>
        <w:rPr>
          <w:rFonts w:ascii="Arial" w:cs="Arial" w:eastAsia="Arial" w:hAnsi="Arial"/>
          <w:b/>
          <w:bCs/>
          <w:color w:val="1B5E20"/>
          <w:sz w:val="26"/>
          <w:szCs w:val="26"/>
        </w:rPr>
        <w:t xml:space="preserve">Formal Procedure</w:t>
      </w:r>
    </w:p>
    <w:p>
      <w:pPr>
        <w:spacing w:before="60" w:after="120"/>
      </w:pPr>
      <w:r>
        <w:rPr>
          <w:rFonts w:ascii="Arial" w:cs="Arial" w:eastAsia="Arial" w:hAnsi="Arial"/>
          <w:b w:val="false"/>
          <w:bCs w:val="false"/>
          <w:i w:val="false"/>
          <w:iCs w:val="false"/>
          <w:color w:val="000000"/>
          <w:sz w:val="22"/>
          <w:szCs w:val="22"/>
        </w:rPr>
        <w:t xml:space="preserve">Employees: Where informal resolution is not possible, a complaint may be raised confidentially with the Clerk, or, if the complaint is about the Clerk, with the Chairman. The complaint should be put in writing to invoke the formal Grievance Procedure. A meeting will normally be arranged within 5 working days of receipt. Refer to the Council's Grievance Procedure.</w:t>
      </w:r>
    </w:p>
    <w:p>
      <w:pPr>
        <w:spacing w:before="60" w:after="120"/>
      </w:pPr>
      <w:r>
        <w:rPr>
          <w:rFonts w:ascii="Arial" w:cs="Arial" w:eastAsia="Arial" w:hAnsi="Arial"/>
          <w:b w:val="false"/>
          <w:bCs w:val="false"/>
          <w:i w:val="false"/>
          <w:iCs w:val="false"/>
          <w:color w:val="000000"/>
          <w:sz w:val="22"/>
          <w:szCs w:val="22"/>
        </w:rPr>
        <w:t xml:space="preserve">Others (Councillors, contractors, members of public): Complaints should be made in writing to the Council. The matter will be investigated and a meeting held to discuss the facts and agree a way forward.</w:t>
      </w:r>
    </w:p>
    <w:p>
      <w:pPr>
        <w:spacing w:before="60" w:after="120"/>
      </w:pPr>
      <w:r>
        <w:rPr>
          <w:rFonts w:ascii="Arial" w:cs="Arial" w:eastAsia="Arial" w:hAnsi="Arial"/>
          <w:b w:val="false"/>
          <w:bCs w:val="false"/>
          <w:i w:val="false"/>
          <w:iCs w:val="false"/>
          <w:color w:val="000000"/>
          <w:sz w:val="22"/>
          <w:szCs w:val="22"/>
        </w:rPr>
        <w:t xml:space="preserve">Councillors found to have bullied or harassed others may be subject to: admonishment, removal from committees, referral under the Code of Conduct to the Borough Monitoring Officer, or referral to the Police.</w:t>
      </w:r>
    </w:p>
    <w:p>
      <w:pPr>
        <w:spacing w:after="120"/>
      </w:pPr>
    </w:p>
    <w:p>
      <w:pPr>
        <w:spacing w:before="240" w:after="120"/>
      </w:pPr>
      <w:r>
        <w:rPr>
          <w:rFonts w:ascii="Arial" w:cs="Arial" w:eastAsia="Arial" w:hAnsi="Arial"/>
          <w:b/>
          <w:bCs/>
          <w:color w:val="1B5E20"/>
          <w:sz w:val="26"/>
          <w:szCs w:val="26"/>
        </w:rPr>
        <w:t xml:space="preserve">Confidentiality and Support</w:t>
      </w:r>
    </w:p>
    <w:p>
      <w:pPr>
        <w:spacing w:before="60" w:after="120"/>
      </w:pPr>
      <w:r>
        <w:rPr>
          <w:rFonts w:ascii="Arial" w:cs="Arial" w:eastAsia="Arial" w:hAnsi="Arial"/>
          <w:b w:val="false"/>
          <w:bCs w:val="false"/>
          <w:i w:val="false"/>
          <w:iCs w:val="false"/>
          <w:color w:val="000000"/>
          <w:sz w:val="22"/>
          <w:szCs w:val="22"/>
        </w:rPr>
        <w:t xml:space="preserve">Complaints will be handled confidentially, so far as reasonably practicable. All parties are entitled to be supported throughout any investigation. False or malicious allegations will be treated as a potential disciplinary matter.</w:t>
      </w:r>
    </w:p>
    <w:p>
      <w:pPr>
        <w:spacing w:after="120"/>
      </w:pPr>
    </w:p>
    <w:p>
      <w:pPr>
        <w:spacing w:before="240" w:after="120"/>
      </w:pPr>
      <w:r>
        <w:rPr>
          <w:rFonts w:ascii="Arial" w:cs="Arial" w:eastAsia="Arial" w:hAnsi="Arial"/>
          <w:b/>
          <w:bCs/>
          <w:color w:val="1B5E20"/>
          <w:sz w:val="26"/>
          <w:szCs w:val="26"/>
        </w:rPr>
        <w:t xml:space="preserve">Useful Contacts</w:t>
      </w:r>
    </w:p>
    <w:p>
      <w:pPr>
        <w:pStyle w:val="ListParagraph"/>
        <w:numPr>
          <w:ilvl w:val="0"/>
          <w:numId w:val="2"/>
        </w:numPr>
        <w:spacing w:before="40" w:after="60"/>
      </w:pPr>
      <w:r>
        <w:rPr>
          <w:rFonts w:ascii="Arial" w:cs="Arial" w:eastAsia="Arial" w:hAnsi="Arial"/>
          <w:sz w:val="22"/>
          <w:szCs w:val="22"/>
        </w:rPr>
        <w:t xml:space="preserve">ACAS: www.acas.org.uk | 0300 123 1100</w:t>
      </w:r>
    </w:p>
    <w:p>
      <w:pPr>
        <w:pStyle w:val="ListParagraph"/>
        <w:numPr>
          <w:ilvl w:val="0"/>
          <w:numId w:val="2"/>
        </w:numPr>
        <w:spacing w:before="40" w:after="60"/>
      </w:pPr>
      <w:r>
        <w:rPr>
          <w:rFonts w:ascii="Arial" w:cs="Arial" w:eastAsia="Arial" w:hAnsi="Arial"/>
          <w:sz w:val="22"/>
          <w:szCs w:val="22"/>
        </w:rPr>
        <w:t xml:space="preserve">Equality and Human Rights Commission: www.equalityhumanrights.com</w:t>
      </w:r>
    </w:p>
    <w:p>
      <w:pPr>
        <w:pStyle w:val="ListParagraph"/>
        <w:numPr>
          <w:ilvl w:val="0"/>
          <w:numId w:val="2"/>
        </w:numPr>
        <w:spacing w:before="40" w:after="60"/>
      </w:pPr>
      <w:r>
        <w:rPr>
          <w:rFonts w:ascii="Arial" w:cs="Arial" w:eastAsia="Arial" w:hAnsi="Arial"/>
          <w:sz w:val="22"/>
          <w:szCs w:val="22"/>
        </w:rPr>
        <w:t xml:space="preserve">Local Government Ombudsman: www.lgo.org.uk | 0300 061 0614</w:t>
      </w:r>
    </w:p>
    <w:p>
      <w:pPr>
        <w:spacing w:after="120"/>
      </w:pPr>
    </w:p>
    <w:p>
      <w:pPr>
        <w:spacing w:after="200"/>
      </w:pPr>
    </w:p>
    <w:p>
      <w:pPr>
        <w:spacing w:before="240" w:after="120"/>
      </w:pPr>
      <w:r>
        <w:rPr>
          <w:rFonts w:ascii="Arial" w:cs="Arial" w:eastAsia="Arial" w:hAnsi="Arial"/>
          <w:b/>
          <w:bCs/>
          <w:color w:val="1B5E20"/>
          <w:sz w:val="26"/>
          <w:szCs w:val="26"/>
        </w:rPr>
        <w:t xml:space="preserve">Document Control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2213"/>
        <w:gridCol w:w="2213"/>
        <w:gridCol w:w="2000"/>
      </w:tblGrid>
      <w:tr>
        <w:tc>
          <w:tcPr>
            <w:tcW w:type="dxa" w:w="12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14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Author / Reviewed By</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Approved By</w:t>
            </w:r>
          </w:p>
        </w:tc>
        <w:tc>
          <w:tcPr>
            <w:tcW w:type="dxa" w:w="20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Changes Made</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March 2026</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Parish Clerk</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Cllr John Littlefair (Chairman)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Initial adoption / 2026 review &amp; update</w:t>
            </w:r>
          </w:p>
        </w:tc>
      </w:tr>
    </w:tbl>
    <w:p>
      <w:pPr>
        <w:spacing w:after="160"/>
      </w:pPr>
    </w:p>
    <w:p>
      <w:pPr>
        <w:spacing w:before="240" w:after="120"/>
      </w:pPr>
      <w:r>
        <w:rPr>
          <w:rFonts w:ascii="Arial" w:cs="Arial" w:eastAsia="Arial" w:hAnsi="Arial"/>
          <w:b/>
          <w:bCs/>
          <w:color w:val="1B5E20"/>
          <w:sz w:val="26"/>
          <w:szCs w:val="26"/>
        </w:rPr>
        <w:t xml:space="preserve">Sign-Off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7"/>
        <w:gridCol w:w="2257"/>
      </w:tblGrid>
      <w:tr>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Adopted / Reviewed:</w:t>
            </w:r>
          </w:p>
          <w:p>
            <w:r>
              <w:rPr>
                <w:rFonts w:ascii="Arial" w:cs="Arial" w:eastAsia="Arial" w:hAnsi="Arial"/>
                <w:sz w:val="20"/>
                <w:szCs w:val="20"/>
              </w:rPr>
              <w:t xml:space="preserve">March 2026</w:t>
            </w:r>
          </w:p>
        </w:tc>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Review Due:</w:t>
            </w:r>
          </w:p>
          <w:p>
            <w:r>
              <w:rPr>
                <w:rFonts w:ascii="Arial" w:cs="Arial" w:eastAsia="Arial" w:hAnsi="Arial"/>
                <w:sz w:val="20"/>
                <w:szCs w:val="20"/>
              </w:rPr>
              <w:t xml:space="preserve">January 2027</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Approved By:</w:t>
            </w:r>
          </w:p>
          <w:p>
            <w:r>
              <w:rPr>
                <w:rFonts w:ascii="Arial" w:cs="Arial" w:eastAsia="Arial" w:hAnsi="Arial"/>
                <w:sz w:val="20"/>
                <w:szCs w:val="20"/>
              </w:rPr>
              <w:t xml:space="preserve">Cllr John Littlefair</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Role:</w:t>
            </w:r>
          </w:p>
          <w:p>
            <w:r>
              <w:rPr>
                <w:rFonts w:ascii="Arial" w:cs="Arial" w:eastAsia="Arial" w:hAnsi="Arial"/>
                <w:sz w:val="20"/>
                <w:szCs w:val="20"/>
              </w:rPr>
              <w:t xml:space="preserve">Chairman, Hart Parish Council</w:t>
            </w:r>
          </w:p>
        </w:tc>
      </w:tr>
    </w:tbl>
    <w:p>
      <w:pPr>
        <w:spacing w:after="120"/>
      </w:pPr>
    </w:p>
    <w:p>
      <w:pPr>
        <w:spacing w:before="60" w:after="120"/>
      </w:pPr>
      <w:r>
        <w:rPr>
          <w:rFonts w:ascii="Arial" w:cs="Arial" w:eastAsia="Arial" w:hAnsi="Arial"/>
          <w:b w:val="false"/>
          <w:bCs w:val="false"/>
          <w:i/>
          <w:iCs/>
          <w:color w:val="666666"/>
          <w:sz w:val="22"/>
          <w:szCs w:val="22"/>
        </w:rPr>
        <w:t xml:space="preserve">This policy was adopted by resolution of Hart Parish Council. It supersedes all previous versions. The Clerk is responsible for ensuring that this policy is implemented, reviewed annually, and that all staff and councillors are aware of its contents.</w:t>
      </w:r>
    </w:p>
    <w:sectPr>
      <w:headerReference w:type="default" r:id="rId6"/>
      <w:footerReference w:type="default" r:id="rId7"/>
      <w:pgSz w:w="11906" w:h="16838" w:orient="portrait"/>
      <w:pgMar w:top="1000" w:right="1200" w:bottom="10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bottom w:val="single" w:color="AAAAAA" w:sz="4" w:space="1"/>
      </w:pBdr>
      <w:spacing w:after="0"/>
    </w:pPr>
  </w:p>
  <w:p>
    <w:pPr>
      <w:tabs>
        <w:tab w:val="right" w:pos="9026"/>
      </w:tabs>
      <w:spacing w:before="80"/>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of </w:t>
    </w:r>
    <w:r>
      <w:rPr>
        <w:rFonts w:ascii="Arial" w:cs="Arial" w:eastAsia="Arial" w:hAnsi="Arial"/>
        <w:color w:val="666666"/>
        <w:sz w:val="18"/>
        <w:szCs w:val="18"/>
      </w:rPr>
      <w:fldChar w:fldCharType="begin"/>
      <w:instrText xml:space="preserve">NUMPAGES</w:instrText>
      <w:fldChar w:fldCharType="separate"/>
      <w:fldChar w:fldCharType="end"/>
    </w:r>
    <w:r>
      <w:rPr>
        <w:rFonts w:ascii="Arial" w:cs="Arial" w:eastAsia="Arial" w:hAnsi="Arial"/>
        <w:color w:val="999999"/>
        <w:sz w:val="18"/>
        <w:szCs w:val="18"/>
      </w:rPr>
      <w:t xml:space="preserve">	Hart Parish Council  |  Confidential – For Internal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60"/>
    </w:pPr>
    <w:r>
      <w:rPr>
        <w:rFonts w:ascii="Arial" w:cs="Arial" w:eastAsia="Arial" w:hAnsi="Arial"/>
        <w:b/>
        <w:bCs/>
        <w:color w:val="1B5E20"/>
        <w:sz w:val="22"/>
        <w:szCs w:val="22"/>
      </w:rPr>
      <w:t xml:space="preserve">Hart Parish Council  –  Dignity at Work – Bullying &amp; Harassment Policy</w:t>
    </w:r>
    <w:r>
      <w:rPr>
        <w:sz w:val="22"/>
        <w:szCs w:val="22"/>
      </w:rPr>
      <w:t xml:space="preserve">	</w:t>
    </w:r>
    <w:r>
      <w:drawing>
        <wp:inline distT="0" distB="0" distL="0" distR="0">
          <wp:extent cx="457200" cy="4572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57200" cy="457200"/>
                  </a:xfrm>
                  <a:prstGeom prst="rect">
                    <a:avLst/>
                  </a:prstGeom>
                </pic:spPr>
              </pic:pic>
            </a:graphicData>
          </a:graphic>
        </wp:inline>
      </w:drawing>
    </w:r>
  </w:p>
  <w:p>
    <w:pPr>
      <w:pBdr>
        <w:bottom w:val="single" w:color="1B5E20" w:sz="8" w:space="1"/>
      </w:pBd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a70629310b03718ec30ebcbd68047e4c1b33634.jp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2026-03-10T14:29:00.383Z</dcterms:created>
  <dcterms:modified xsi:type="dcterms:W3CDTF">2026-03-10T14:29:00.383Z</dcterms:modified>
</cp:coreProperties>
</file>

<file path=docProps/custom.xml><?xml version="1.0" encoding="utf-8"?>
<Properties xmlns="http://schemas.openxmlformats.org/officeDocument/2006/custom-properties" xmlns:vt="http://schemas.openxmlformats.org/officeDocument/2006/docPropsVTypes"/>
</file>