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DATA PROTECTION, RECORDS MANAGEMENT &amp; SECURITY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Introduction</w:t>
      </w:r>
    </w:p>
    <w:p>
      <w:pPr>
        <w:spacing w:before="60" w:after="120"/>
      </w:pPr>
      <w:r>
        <w:rPr>
          <w:rFonts w:ascii="Arial" w:cs="Arial" w:eastAsia="Arial" w:hAnsi="Arial"/>
          <w:b w:val="false"/>
          <w:bCs w:val="false"/>
          <w:i w:val="false"/>
          <w:iCs w:val="false"/>
          <w:color w:val="000000"/>
          <w:sz w:val="22"/>
          <w:szCs w:val="22"/>
        </w:rPr>
        <w:t xml:space="preserve">Hart Parish Council is fully committed to compliance with the UK General Data Protection Regulation (UK GDPR) and the Data Protection Act 2018. This policy sets out how the Council collects, uses, stores, discloses and disposes of personal data in carrying out its functions.</w:t>
      </w:r>
    </w:p>
    <w:p>
      <w:pPr>
        <w:spacing w:after="120"/>
      </w:pPr>
    </w:p>
    <w:p>
      <w:pPr>
        <w:spacing w:before="240" w:after="120"/>
      </w:pPr>
      <w:r>
        <w:rPr>
          <w:rFonts w:ascii="Arial" w:cs="Arial" w:eastAsia="Arial" w:hAnsi="Arial"/>
          <w:b/>
          <w:bCs/>
          <w:color w:val="1B5E20"/>
          <w:sz w:val="26"/>
          <w:szCs w:val="26"/>
        </w:rPr>
        <w:t xml:space="preserve">Data Protection Principles</w:t>
      </w:r>
    </w:p>
    <w:p>
      <w:pPr>
        <w:spacing w:before="60" w:after="120"/>
      </w:pPr>
      <w:r>
        <w:rPr>
          <w:rFonts w:ascii="Arial" w:cs="Arial" w:eastAsia="Arial" w:hAnsi="Arial"/>
          <w:b w:val="false"/>
          <w:bCs w:val="false"/>
          <w:i w:val="false"/>
          <w:iCs w:val="false"/>
          <w:color w:val="000000"/>
          <w:sz w:val="22"/>
          <w:szCs w:val="22"/>
        </w:rPr>
        <w:t xml:space="preserve">The Council processes personal data in accordance with the following principles under Article 5 UK GDPR:</w:t>
      </w:r>
    </w:p>
    <w:p>
      <w:pPr>
        <w:pStyle w:val="ListParagraph"/>
        <w:numPr>
          <w:ilvl w:val="0"/>
          <w:numId w:val="2"/>
        </w:numPr>
        <w:spacing w:before="40" w:after="60"/>
      </w:pPr>
      <w:r>
        <w:rPr>
          <w:rFonts w:ascii="Arial" w:cs="Arial" w:eastAsia="Arial" w:hAnsi="Arial"/>
          <w:sz w:val="22"/>
          <w:szCs w:val="22"/>
        </w:rPr>
        <w:t xml:space="preserve">Lawfulness, fairness and transparency – data is processed lawfully, fairly and in a transparent manner.</w:t>
      </w:r>
    </w:p>
    <w:p>
      <w:pPr>
        <w:pStyle w:val="ListParagraph"/>
        <w:numPr>
          <w:ilvl w:val="0"/>
          <w:numId w:val="2"/>
        </w:numPr>
        <w:spacing w:before="40" w:after="60"/>
      </w:pPr>
      <w:r>
        <w:rPr>
          <w:rFonts w:ascii="Arial" w:cs="Arial" w:eastAsia="Arial" w:hAnsi="Arial"/>
          <w:sz w:val="22"/>
          <w:szCs w:val="22"/>
        </w:rPr>
        <w:t xml:space="preserve">Purpose limitation – data is collected for specified, explicit and legitimate purposes and not further processed incompatibly.</w:t>
      </w:r>
    </w:p>
    <w:p>
      <w:pPr>
        <w:pStyle w:val="ListParagraph"/>
        <w:numPr>
          <w:ilvl w:val="0"/>
          <w:numId w:val="2"/>
        </w:numPr>
        <w:spacing w:before="40" w:after="60"/>
      </w:pPr>
      <w:r>
        <w:rPr>
          <w:rFonts w:ascii="Arial" w:cs="Arial" w:eastAsia="Arial" w:hAnsi="Arial"/>
          <w:sz w:val="22"/>
          <w:szCs w:val="22"/>
        </w:rPr>
        <w:t xml:space="preserve">Data minimisation – data is adequate, relevant and limited to what is necessary.</w:t>
      </w:r>
    </w:p>
    <w:p>
      <w:pPr>
        <w:pStyle w:val="ListParagraph"/>
        <w:numPr>
          <w:ilvl w:val="0"/>
          <w:numId w:val="2"/>
        </w:numPr>
        <w:spacing w:before="40" w:after="60"/>
      </w:pPr>
      <w:r>
        <w:rPr>
          <w:rFonts w:ascii="Arial" w:cs="Arial" w:eastAsia="Arial" w:hAnsi="Arial"/>
          <w:sz w:val="22"/>
          <w:szCs w:val="22"/>
        </w:rPr>
        <w:t xml:space="preserve">Accuracy – data is accurate and, where necessary, kept up to date.</w:t>
      </w:r>
    </w:p>
    <w:p>
      <w:pPr>
        <w:pStyle w:val="ListParagraph"/>
        <w:numPr>
          <w:ilvl w:val="0"/>
          <w:numId w:val="2"/>
        </w:numPr>
        <w:spacing w:before="40" w:after="60"/>
      </w:pPr>
      <w:r>
        <w:rPr>
          <w:rFonts w:ascii="Arial" w:cs="Arial" w:eastAsia="Arial" w:hAnsi="Arial"/>
          <w:sz w:val="22"/>
          <w:szCs w:val="22"/>
        </w:rPr>
        <w:t xml:space="preserve">Storage limitation – data is not kept longer than necessary.</w:t>
      </w:r>
    </w:p>
    <w:p>
      <w:pPr>
        <w:pStyle w:val="ListParagraph"/>
        <w:numPr>
          <w:ilvl w:val="0"/>
          <w:numId w:val="2"/>
        </w:numPr>
        <w:spacing w:before="40" w:after="60"/>
      </w:pPr>
      <w:r>
        <w:rPr>
          <w:rFonts w:ascii="Arial" w:cs="Arial" w:eastAsia="Arial" w:hAnsi="Arial"/>
          <w:sz w:val="22"/>
          <w:szCs w:val="22"/>
        </w:rPr>
        <w:t xml:space="preserve">Integrity and confidentiality – data is processed securely, protecting against unauthorised access, loss or destruction.</w:t>
      </w:r>
    </w:p>
    <w:p>
      <w:pPr>
        <w:pStyle w:val="ListParagraph"/>
        <w:numPr>
          <w:ilvl w:val="0"/>
          <w:numId w:val="2"/>
        </w:numPr>
        <w:spacing w:before="40" w:after="60"/>
      </w:pPr>
      <w:r>
        <w:rPr>
          <w:rFonts w:ascii="Arial" w:cs="Arial" w:eastAsia="Arial" w:hAnsi="Arial"/>
          <w:sz w:val="22"/>
          <w:szCs w:val="22"/>
        </w:rPr>
        <w:t xml:space="preserve">Accountability – the Council can demonstrate compliance with these principles.</w:t>
      </w:r>
    </w:p>
    <w:p>
      <w:pPr>
        <w:spacing w:after="120"/>
      </w:pPr>
    </w:p>
    <w:p>
      <w:pPr>
        <w:spacing w:before="240" w:after="120"/>
      </w:pPr>
      <w:r>
        <w:rPr>
          <w:rFonts w:ascii="Arial" w:cs="Arial" w:eastAsia="Arial" w:hAnsi="Arial"/>
          <w:b/>
          <w:bCs/>
          <w:color w:val="1B5E20"/>
          <w:sz w:val="26"/>
          <w:szCs w:val="26"/>
        </w:rPr>
        <w:t xml:space="preserve">Lawful Basis for Processing</w:t>
      </w:r>
    </w:p>
    <w:p>
      <w:pPr>
        <w:spacing w:before="60" w:after="120"/>
      </w:pPr>
      <w:r>
        <w:rPr>
          <w:rFonts w:ascii="Arial" w:cs="Arial" w:eastAsia="Arial" w:hAnsi="Arial"/>
          <w:b w:val="false"/>
          <w:bCs w:val="false"/>
          <w:i w:val="false"/>
          <w:iCs w:val="false"/>
          <w:color w:val="000000"/>
          <w:sz w:val="22"/>
          <w:szCs w:val="22"/>
        </w:rPr>
        <w:t xml:space="preserve">The Council relies on the following lawful bases under Article 6 UK GDPR as appropriate: legal obligation; public task; legitimate interests; and consent. Where special category data is processed, a condition under Article 9 UK GDPR will also apply.</w:t>
      </w:r>
    </w:p>
    <w:p>
      <w:pPr>
        <w:spacing w:after="120"/>
      </w:pPr>
    </w:p>
    <w:p>
      <w:pPr>
        <w:spacing w:before="240" w:after="120"/>
      </w:pPr>
      <w:r>
        <w:rPr>
          <w:rFonts w:ascii="Arial" w:cs="Arial" w:eastAsia="Arial" w:hAnsi="Arial"/>
          <w:b/>
          <w:bCs/>
          <w:color w:val="1B5E20"/>
          <w:sz w:val="26"/>
          <w:szCs w:val="26"/>
        </w:rPr>
        <w:t xml:space="preserve">Rights of Data Subjects</w:t>
      </w:r>
    </w:p>
    <w:p>
      <w:pPr>
        <w:spacing w:before="60" w:after="120"/>
      </w:pPr>
      <w:r>
        <w:rPr>
          <w:rFonts w:ascii="Arial" w:cs="Arial" w:eastAsia="Arial" w:hAnsi="Arial"/>
          <w:b w:val="false"/>
          <w:bCs w:val="false"/>
          <w:i w:val="false"/>
          <w:iCs w:val="false"/>
          <w:color w:val="000000"/>
          <w:sz w:val="22"/>
          <w:szCs w:val="22"/>
        </w:rPr>
        <w:t xml:space="preserve">Individuals have the following rights under UK GDPR, which the Council will facilitate:</w:t>
      </w:r>
    </w:p>
    <w:p>
      <w:pPr>
        <w:pStyle w:val="ListParagraph"/>
        <w:numPr>
          <w:ilvl w:val="0"/>
          <w:numId w:val="3"/>
        </w:numPr>
        <w:spacing w:before="40" w:after="60"/>
      </w:pPr>
      <w:r>
        <w:rPr>
          <w:rFonts w:ascii="Arial" w:cs="Arial" w:eastAsia="Arial" w:hAnsi="Arial"/>
          <w:sz w:val="22"/>
          <w:szCs w:val="22"/>
        </w:rPr>
        <w:t xml:space="preserve">Right to be informed (Privacy Notice)</w:t>
      </w:r>
    </w:p>
    <w:p>
      <w:pPr>
        <w:pStyle w:val="ListParagraph"/>
        <w:numPr>
          <w:ilvl w:val="0"/>
          <w:numId w:val="3"/>
        </w:numPr>
        <w:spacing w:before="40" w:after="60"/>
      </w:pPr>
      <w:r>
        <w:rPr>
          <w:rFonts w:ascii="Arial" w:cs="Arial" w:eastAsia="Arial" w:hAnsi="Arial"/>
          <w:sz w:val="22"/>
          <w:szCs w:val="22"/>
        </w:rPr>
        <w:t xml:space="preserve">Right of access (Subject Access Request – response within one calendar month)</w:t>
      </w:r>
    </w:p>
    <w:p>
      <w:pPr>
        <w:pStyle w:val="ListParagraph"/>
        <w:numPr>
          <w:ilvl w:val="0"/>
          <w:numId w:val="3"/>
        </w:numPr>
        <w:spacing w:before="40" w:after="60"/>
      </w:pPr>
      <w:r>
        <w:rPr>
          <w:rFonts w:ascii="Arial" w:cs="Arial" w:eastAsia="Arial" w:hAnsi="Arial"/>
          <w:sz w:val="22"/>
          <w:szCs w:val="22"/>
        </w:rPr>
        <w:t xml:space="preserve">Right to rectification</w:t>
      </w:r>
    </w:p>
    <w:p>
      <w:pPr>
        <w:pStyle w:val="ListParagraph"/>
        <w:numPr>
          <w:ilvl w:val="0"/>
          <w:numId w:val="3"/>
        </w:numPr>
        <w:spacing w:before="40" w:after="60"/>
      </w:pPr>
      <w:r>
        <w:rPr>
          <w:rFonts w:ascii="Arial" w:cs="Arial" w:eastAsia="Arial" w:hAnsi="Arial"/>
          <w:sz w:val="22"/>
          <w:szCs w:val="22"/>
        </w:rPr>
        <w:t xml:space="preserve">Right to erasure ('right to be forgotten')</w:t>
      </w:r>
    </w:p>
    <w:p>
      <w:pPr>
        <w:pStyle w:val="ListParagraph"/>
        <w:numPr>
          <w:ilvl w:val="0"/>
          <w:numId w:val="3"/>
        </w:numPr>
        <w:spacing w:before="40" w:after="60"/>
      </w:pPr>
      <w:r>
        <w:rPr>
          <w:rFonts w:ascii="Arial" w:cs="Arial" w:eastAsia="Arial" w:hAnsi="Arial"/>
          <w:sz w:val="22"/>
          <w:szCs w:val="22"/>
        </w:rPr>
        <w:t xml:space="preserve">Right to restrict processing</w:t>
      </w:r>
    </w:p>
    <w:p>
      <w:pPr>
        <w:pStyle w:val="ListParagraph"/>
        <w:numPr>
          <w:ilvl w:val="0"/>
          <w:numId w:val="3"/>
        </w:numPr>
        <w:spacing w:before="40" w:after="60"/>
      </w:pPr>
      <w:r>
        <w:rPr>
          <w:rFonts w:ascii="Arial" w:cs="Arial" w:eastAsia="Arial" w:hAnsi="Arial"/>
          <w:sz w:val="22"/>
          <w:szCs w:val="22"/>
        </w:rPr>
        <w:t xml:space="preserve">Right to data portability</w:t>
      </w:r>
    </w:p>
    <w:p>
      <w:pPr>
        <w:pStyle w:val="ListParagraph"/>
        <w:numPr>
          <w:ilvl w:val="0"/>
          <w:numId w:val="3"/>
        </w:numPr>
        <w:spacing w:before="40" w:after="60"/>
      </w:pPr>
      <w:r>
        <w:rPr>
          <w:rFonts w:ascii="Arial" w:cs="Arial" w:eastAsia="Arial" w:hAnsi="Arial"/>
          <w:sz w:val="22"/>
          <w:szCs w:val="22"/>
        </w:rPr>
        <w:t xml:space="preserve">Right to object</w:t>
      </w:r>
    </w:p>
    <w:p>
      <w:pPr>
        <w:pStyle w:val="ListParagraph"/>
        <w:numPr>
          <w:ilvl w:val="0"/>
          <w:numId w:val="3"/>
        </w:numPr>
        <w:spacing w:before="40" w:after="60"/>
      </w:pPr>
      <w:r>
        <w:rPr>
          <w:rFonts w:ascii="Arial" w:cs="Arial" w:eastAsia="Arial" w:hAnsi="Arial"/>
          <w:sz w:val="22"/>
          <w:szCs w:val="22"/>
        </w:rPr>
        <w:t xml:space="preserve">Rights relating to automated decision-making and profiling</w:t>
      </w:r>
    </w:p>
    <w:p>
      <w:pPr>
        <w:spacing w:after="120"/>
      </w:pPr>
    </w:p>
    <w:p>
      <w:pPr>
        <w:spacing w:before="240" w:after="120"/>
      </w:pPr>
      <w:r>
        <w:rPr>
          <w:rFonts w:ascii="Arial" w:cs="Arial" w:eastAsia="Arial" w:hAnsi="Arial"/>
          <w:b/>
          <w:bCs/>
          <w:color w:val="1B5E20"/>
          <w:sz w:val="26"/>
          <w:szCs w:val="26"/>
        </w:rPr>
        <w:t xml:space="preserve">Responsibilities</w:t>
      </w:r>
    </w:p>
    <w:p>
      <w:pPr>
        <w:spacing w:before="60" w:after="120"/>
      </w:pPr>
      <w:r>
        <w:rPr>
          <w:rFonts w:ascii="Arial" w:cs="Arial" w:eastAsia="Arial" w:hAnsi="Arial"/>
          <w:b w:val="false"/>
          <w:bCs w:val="false"/>
          <w:i w:val="false"/>
          <w:iCs w:val="false"/>
          <w:color w:val="000000"/>
          <w:sz w:val="22"/>
          <w:szCs w:val="22"/>
        </w:rPr>
        <w:t xml:space="preserve">The Parish Clerk acts as the Council's Data Protection lead and is responsible for ensuring compliance with this policy. The Council is registered with the Information Commissioner's Office (ICO) as a data controller. The registration must be renewed annually; failure to do so is a criminal offence.</w:t>
      </w:r>
    </w:p>
    <w:p>
      <w:pPr>
        <w:spacing w:after="120"/>
      </w:pPr>
    </w:p>
    <w:p>
      <w:pPr>
        <w:spacing w:before="240" w:after="120"/>
      </w:pPr>
      <w:r>
        <w:rPr>
          <w:rFonts w:ascii="Arial" w:cs="Arial" w:eastAsia="Arial" w:hAnsi="Arial"/>
          <w:b/>
          <w:bCs/>
          <w:color w:val="1B5E20"/>
          <w:sz w:val="26"/>
          <w:szCs w:val="26"/>
        </w:rPr>
        <w:t xml:space="preserve">Data Security</w:t>
      </w:r>
    </w:p>
    <w:p>
      <w:pPr>
        <w:pStyle w:val="ListParagraph"/>
        <w:numPr>
          <w:ilvl w:val="0"/>
          <w:numId w:val="3"/>
        </w:numPr>
        <w:spacing w:before="40" w:after="60"/>
      </w:pPr>
      <w:r>
        <w:rPr>
          <w:rFonts w:ascii="Arial" w:cs="Arial" w:eastAsia="Arial" w:hAnsi="Arial"/>
          <w:sz w:val="22"/>
          <w:szCs w:val="22"/>
        </w:rPr>
        <w:t xml:space="preserve">All electronic data held by the Clerk is password-protected and stored securely.</w:t>
      </w:r>
    </w:p>
    <w:p>
      <w:pPr>
        <w:pStyle w:val="ListParagraph"/>
        <w:numPr>
          <w:ilvl w:val="0"/>
          <w:numId w:val="3"/>
        </w:numPr>
        <w:spacing w:before="40" w:after="60"/>
      </w:pPr>
      <w:r>
        <w:rPr>
          <w:rFonts w:ascii="Arial" w:cs="Arial" w:eastAsia="Arial" w:hAnsi="Arial"/>
          <w:sz w:val="22"/>
          <w:szCs w:val="22"/>
        </w:rPr>
        <w:t xml:space="preserve">Paper records are held securely and access is restricted to authorised persons.</w:t>
      </w:r>
    </w:p>
    <w:p>
      <w:pPr>
        <w:pStyle w:val="ListParagraph"/>
        <w:numPr>
          <w:ilvl w:val="0"/>
          <w:numId w:val="3"/>
        </w:numPr>
        <w:spacing w:before="40" w:after="60"/>
      </w:pPr>
      <w:r>
        <w:rPr>
          <w:rFonts w:ascii="Arial" w:cs="Arial" w:eastAsia="Arial" w:hAnsi="Arial"/>
          <w:sz w:val="22"/>
          <w:szCs w:val="22"/>
        </w:rPr>
        <w:t xml:space="preserve">Emails will be purged regularly and deleted safely.</w:t>
      </w:r>
    </w:p>
    <w:p>
      <w:pPr>
        <w:pStyle w:val="ListParagraph"/>
        <w:numPr>
          <w:ilvl w:val="0"/>
          <w:numId w:val="3"/>
        </w:numPr>
        <w:spacing w:before="40" w:after="60"/>
      </w:pPr>
      <w:r>
        <w:rPr>
          <w:rFonts w:ascii="Arial" w:cs="Arial" w:eastAsia="Arial" w:hAnsi="Arial"/>
          <w:sz w:val="22"/>
          <w:szCs w:val="22"/>
        </w:rPr>
        <w:t xml:space="preserve">Data will not be transferred outside the UK without appropriate safeguards.</w:t>
      </w:r>
    </w:p>
    <w:p>
      <w:pPr>
        <w:spacing w:after="120"/>
      </w:pPr>
    </w:p>
    <w:p>
      <w:pPr>
        <w:spacing w:before="240" w:after="120"/>
      </w:pPr>
      <w:r>
        <w:rPr>
          <w:rFonts w:ascii="Arial" w:cs="Arial" w:eastAsia="Arial" w:hAnsi="Arial"/>
          <w:b/>
          <w:bCs/>
          <w:color w:val="1B5E20"/>
          <w:sz w:val="26"/>
          <w:szCs w:val="26"/>
        </w:rPr>
        <w:t xml:space="preserve">Records Retention Schedule</w:t>
      </w:r>
    </w:p>
    <w:p>
      <w:pPr>
        <w:spacing w:before="60" w:after="120"/>
      </w:pPr>
      <w:r>
        <w:rPr>
          <w:rFonts w:ascii="Arial" w:cs="Arial" w:eastAsia="Arial" w:hAnsi="Arial"/>
          <w:b w:val="false"/>
          <w:bCs w:val="false"/>
          <w:i w:val="false"/>
          <w:iCs w:val="false"/>
          <w:color w:val="000000"/>
          <w:sz w:val="22"/>
          <w:szCs w:val="22"/>
        </w:rPr>
        <w:t xml:space="preserve">The Council operates a records retention schedule. Key retention periods include:</w:t>
      </w:r>
    </w:p>
    <w:p>
      <w:pPr>
        <w:pStyle w:val="ListParagraph"/>
        <w:numPr>
          <w:ilvl w:val="0"/>
          <w:numId w:val="3"/>
        </w:numPr>
        <w:spacing w:before="40" w:after="60"/>
      </w:pPr>
      <w:r>
        <w:rPr>
          <w:rFonts w:ascii="Arial" w:cs="Arial" w:eastAsia="Arial" w:hAnsi="Arial"/>
          <w:sz w:val="22"/>
          <w:szCs w:val="22"/>
        </w:rPr>
        <w:t xml:space="preserve">Minute books – indefinite (archive)</w:t>
      </w:r>
    </w:p>
    <w:p>
      <w:pPr>
        <w:pStyle w:val="ListParagraph"/>
        <w:numPr>
          <w:ilvl w:val="0"/>
          <w:numId w:val="3"/>
        </w:numPr>
        <w:spacing w:before="40" w:after="60"/>
      </w:pPr>
      <w:r>
        <w:rPr>
          <w:rFonts w:ascii="Arial" w:cs="Arial" w:eastAsia="Arial" w:hAnsi="Arial"/>
          <w:sz w:val="22"/>
          <w:szCs w:val="22"/>
        </w:rPr>
        <w:t xml:space="preserve">Receipt and payment accounts – indefinite (archive)</w:t>
      </w:r>
    </w:p>
    <w:p>
      <w:pPr>
        <w:pStyle w:val="ListParagraph"/>
        <w:numPr>
          <w:ilvl w:val="0"/>
          <w:numId w:val="3"/>
        </w:numPr>
        <w:spacing w:before="40" w:after="60"/>
      </w:pPr>
      <w:r>
        <w:rPr>
          <w:rFonts w:ascii="Arial" w:cs="Arial" w:eastAsia="Arial" w:hAnsi="Arial"/>
          <w:sz w:val="22"/>
          <w:szCs w:val="22"/>
        </w:rPr>
        <w:t xml:space="preserve">Paid invoices, VAT records, cheque stubs – 6 years</w:t>
      </w:r>
    </w:p>
    <w:p>
      <w:pPr>
        <w:pStyle w:val="ListParagraph"/>
        <w:numPr>
          <w:ilvl w:val="0"/>
          <w:numId w:val="3"/>
        </w:numPr>
        <w:spacing w:before="40" w:after="60"/>
      </w:pPr>
      <w:r>
        <w:rPr>
          <w:rFonts w:ascii="Arial" w:cs="Arial" w:eastAsia="Arial" w:hAnsi="Arial"/>
          <w:sz w:val="22"/>
          <w:szCs w:val="22"/>
        </w:rPr>
        <w:t xml:space="preserve">Bank statements – last completed audit year</w:t>
      </w:r>
    </w:p>
    <w:p>
      <w:pPr>
        <w:pStyle w:val="ListParagraph"/>
        <w:numPr>
          <w:ilvl w:val="0"/>
          <w:numId w:val="3"/>
        </w:numPr>
        <w:spacing w:before="40" w:after="60"/>
      </w:pPr>
      <w:r>
        <w:rPr>
          <w:rFonts w:ascii="Arial" w:cs="Arial" w:eastAsia="Arial" w:hAnsi="Arial"/>
          <w:sz w:val="22"/>
          <w:szCs w:val="22"/>
        </w:rPr>
        <w:t xml:space="preserve">Insurance certificates (employers' liability) – 40 years</w:t>
      </w:r>
    </w:p>
    <w:p>
      <w:pPr>
        <w:pStyle w:val="ListParagraph"/>
        <w:numPr>
          <w:ilvl w:val="0"/>
          <w:numId w:val="3"/>
        </w:numPr>
        <w:spacing w:before="40" w:after="60"/>
      </w:pPr>
      <w:r>
        <w:rPr>
          <w:rFonts w:ascii="Arial" w:cs="Arial" w:eastAsia="Arial" w:hAnsi="Arial"/>
          <w:sz w:val="22"/>
          <w:szCs w:val="22"/>
        </w:rPr>
        <w:t xml:space="preserve">Title deeds, leases, contracts – indefinite</w:t>
      </w:r>
    </w:p>
    <w:p>
      <w:pPr>
        <w:pStyle w:val="ListParagraph"/>
        <w:numPr>
          <w:ilvl w:val="0"/>
          <w:numId w:val="3"/>
        </w:numPr>
        <w:spacing w:before="40" w:after="60"/>
      </w:pPr>
      <w:r>
        <w:rPr>
          <w:rFonts w:ascii="Arial" w:cs="Arial" w:eastAsia="Arial" w:hAnsi="Arial"/>
          <w:sz w:val="22"/>
          <w:szCs w:val="22"/>
        </w:rPr>
        <w:t xml:space="preserve">Staff/HR records – duration of employment plus 6 years (or as required by law)</w:t>
      </w:r>
    </w:p>
    <w:p>
      <w:pPr>
        <w:spacing w:after="120"/>
      </w:pPr>
    </w:p>
    <w:p>
      <w:pPr>
        <w:spacing w:before="240" w:after="120"/>
      </w:pPr>
      <w:r>
        <w:rPr>
          <w:rFonts w:ascii="Arial" w:cs="Arial" w:eastAsia="Arial" w:hAnsi="Arial"/>
          <w:b/>
          <w:bCs/>
          <w:color w:val="1B5E20"/>
          <w:sz w:val="26"/>
          <w:szCs w:val="26"/>
        </w:rPr>
        <w:t xml:space="preserve">Data Breaches</w:t>
      </w:r>
    </w:p>
    <w:p>
      <w:pPr>
        <w:spacing w:before="60" w:after="120"/>
      </w:pPr>
      <w:r>
        <w:rPr>
          <w:rFonts w:ascii="Arial" w:cs="Arial" w:eastAsia="Arial" w:hAnsi="Arial"/>
          <w:b w:val="false"/>
          <w:bCs w:val="false"/>
          <w:i w:val="false"/>
          <w:iCs w:val="false"/>
          <w:color w:val="000000"/>
          <w:sz w:val="22"/>
          <w:szCs w:val="22"/>
        </w:rPr>
        <w:t xml:space="preserve">Any actual or suspected data breach must be reported to the Clerk immediately. The Council will assess the risk and, where required, report to the ICO within 72 hours in accordance with Article 33 UK GDPR. Affected data subjects will be notified without undue delay where required.</w:t>
      </w:r>
    </w:p>
    <w:p>
      <w:pPr>
        <w:spacing w:after="120"/>
      </w:pPr>
    </w:p>
    <w:p>
      <w:pPr>
        <w:spacing w:before="240" w:after="120"/>
      </w:pPr>
      <w:r>
        <w:rPr>
          <w:rFonts w:ascii="Arial" w:cs="Arial" w:eastAsia="Arial" w:hAnsi="Arial"/>
          <w:b/>
          <w:bCs/>
          <w:color w:val="1B5E20"/>
          <w:sz w:val="26"/>
          <w:szCs w:val="26"/>
        </w:rPr>
        <w:t xml:space="preserve">Freedom of Information</w:t>
      </w:r>
    </w:p>
    <w:p>
      <w:pPr>
        <w:spacing w:before="60" w:after="120"/>
      </w:pPr>
      <w:r>
        <w:rPr>
          <w:rFonts w:ascii="Arial" w:cs="Arial" w:eastAsia="Arial" w:hAnsi="Arial"/>
          <w:b w:val="false"/>
          <w:bCs w:val="false"/>
          <w:i w:val="false"/>
          <w:iCs w:val="false"/>
          <w:color w:val="000000"/>
          <w:sz w:val="22"/>
          <w:szCs w:val="22"/>
        </w:rPr>
        <w:t xml:space="preserve">The Council operates under the Freedom of Information Act 2000 and the associated Publication Scheme. Written requests for information will be responded to within 20 working days. The Clerk is responsible for processing FOI requests.</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3"/>
        </w:numPr>
        <w:spacing w:before="40" w:after="60"/>
      </w:pPr>
      <w:r>
        <w:rPr>
          <w:rFonts w:ascii="Arial" w:cs="Arial" w:eastAsia="Arial" w:hAnsi="Arial"/>
          <w:sz w:val="22"/>
          <w:szCs w:val="22"/>
        </w:rPr>
        <w:t xml:space="preserve">UK General Data Protection Regulation (UK GDPR)</w:t>
      </w:r>
    </w:p>
    <w:p>
      <w:pPr>
        <w:pStyle w:val="ListParagraph"/>
        <w:numPr>
          <w:ilvl w:val="0"/>
          <w:numId w:val="3"/>
        </w:numPr>
        <w:spacing w:before="40" w:after="60"/>
      </w:pPr>
      <w:r>
        <w:rPr>
          <w:rFonts w:ascii="Arial" w:cs="Arial" w:eastAsia="Arial" w:hAnsi="Arial"/>
          <w:sz w:val="22"/>
          <w:szCs w:val="22"/>
        </w:rPr>
        <w:t xml:space="preserve">Data Protection Act 2018</w:t>
      </w:r>
    </w:p>
    <w:p>
      <w:pPr>
        <w:pStyle w:val="ListParagraph"/>
        <w:numPr>
          <w:ilvl w:val="0"/>
          <w:numId w:val="3"/>
        </w:numPr>
        <w:spacing w:before="40" w:after="60"/>
      </w:pPr>
      <w:r>
        <w:rPr>
          <w:rFonts w:ascii="Arial" w:cs="Arial" w:eastAsia="Arial" w:hAnsi="Arial"/>
          <w:sz w:val="22"/>
          <w:szCs w:val="22"/>
        </w:rPr>
        <w:t xml:space="preserve">Freedom of Information Act 2000</w:t>
      </w:r>
    </w:p>
    <w:p>
      <w:pPr>
        <w:pStyle w:val="ListParagraph"/>
        <w:numPr>
          <w:ilvl w:val="0"/>
          <w:numId w:val="3"/>
        </w:numPr>
        <w:spacing w:before="40" w:after="60"/>
      </w:pPr>
      <w:r>
        <w:rPr>
          <w:rFonts w:ascii="Arial" w:cs="Arial" w:eastAsia="Arial" w:hAnsi="Arial"/>
          <w:sz w:val="22"/>
          <w:szCs w:val="22"/>
        </w:rPr>
        <w:t xml:space="preserve">Privacy and Electronic Communications Regulations 2003 (PECR)</w:t>
      </w:r>
    </w:p>
    <w:p>
      <w:pPr>
        <w:pStyle w:val="ListParagraph"/>
        <w:numPr>
          <w:ilvl w:val="0"/>
          <w:numId w:val="3"/>
        </w:numPr>
        <w:spacing w:before="40" w:after="60"/>
      </w:pPr>
      <w:r>
        <w:rPr>
          <w:rFonts w:ascii="Arial" w:cs="Arial" w:eastAsia="Arial" w:hAnsi="Arial"/>
          <w:sz w:val="22"/>
          <w:szCs w:val="22"/>
        </w:rPr>
        <w:t xml:space="preserve">Environmental Information Regulations 2004</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Data Protection, Records Management &amp; Security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2026-03-10T14:29:00.307Z</dcterms:created>
  <dcterms:modified xsi:type="dcterms:W3CDTF">2026-03-10T14:29:00.307Z</dcterms:modified>
</cp:coreProperties>
</file>

<file path=docProps/custom.xml><?xml version="1.0" encoding="utf-8"?>
<Properties xmlns="http://schemas.openxmlformats.org/officeDocument/2006/custom-properties" xmlns:vt="http://schemas.openxmlformats.org/officeDocument/2006/docPropsVTypes"/>
</file>