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5E20" w:val="clear"/>
        <w:spacing w:before="0" w:after="0"/>
        <w:ind w:left="200" w:right="200"/>
      </w:pPr>
      <w:r>
        <w:rPr>
          <w:rFonts w:ascii="Arial" w:cs="Arial" w:eastAsia="Arial" w:hAnsi="Arial"/>
          <w:b/>
          <w:bCs/>
          <w:color w:val="FFFFFF"/>
          <w:sz w:val="36"/>
          <w:szCs w:val="36"/>
        </w:rPr>
        <w:t xml:space="preserve">EQUALITY &amp; DIVERSITY POLICY</w:t>
      </w:r>
    </w:p>
    <w:p>
      <w:pPr>
        <w:shd w:fill="2E7D32" w:val="clear"/>
        <w:spacing w:before="0" w:after="240"/>
        <w:ind w:left="200"/>
      </w:pPr>
      <w:r>
        <w:rPr>
          <w:rFonts w:ascii="Arial" w:cs="Arial" w:eastAsia="Arial" w:hAnsi="Arial"/>
          <w:color w:val="FFFFFF"/>
          <w:sz w:val="18"/>
          <w:szCs w:val="18"/>
        </w:rPr>
        <w:t xml:space="preserve">Hart Parish Council  |  Adopted: March 2026  |  Review: January 2027</w:t>
      </w:r>
    </w:p>
    <w:p>
      <w:pPr>
        <w:spacing w:after="200"/>
      </w:pPr>
    </w:p>
    <w:p>
      <w:pPr>
        <w:spacing w:before="240" w:after="120"/>
      </w:pPr>
      <w:r>
        <w:rPr>
          <w:rFonts w:ascii="Arial" w:cs="Arial" w:eastAsia="Arial" w:hAnsi="Arial"/>
          <w:b/>
          <w:bCs/>
          <w:color w:val="1B5E20"/>
          <w:sz w:val="26"/>
          <w:szCs w:val="26"/>
        </w:rPr>
        <w:t xml:space="preserve">Policy Statement</w:t>
      </w:r>
    </w:p>
    <w:p>
      <w:pPr>
        <w:spacing w:before="60" w:after="120"/>
      </w:pPr>
      <w:r>
        <w:rPr>
          <w:rFonts w:ascii="Arial" w:cs="Arial" w:eastAsia="Arial" w:hAnsi="Arial"/>
          <w:b w:val="false"/>
          <w:bCs w:val="false"/>
          <w:i w:val="false"/>
          <w:iCs w:val="false"/>
          <w:color w:val="000000"/>
          <w:sz w:val="22"/>
          <w:szCs w:val="22"/>
        </w:rPr>
        <w:t xml:space="preserve">Hart Parish Council is committed to a policy of equality of opportunity in its employment practices and in all services for which it is responsible. The Council opposes all forms of unlawful or unfair discrimination and is committed to creating an inclusive environment for employees, service users, contractors, suppliers and the wider community.</w:t>
      </w:r>
    </w:p>
    <w:p>
      <w:pPr>
        <w:spacing w:after="120"/>
      </w:pPr>
    </w:p>
    <w:p>
      <w:pPr>
        <w:spacing w:before="240" w:after="120"/>
      </w:pPr>
      <w:r>
        <w:rPr>
          <w:rFonts w:ascii="Arial" w:cs="Arial" w:eastAsia="Arial" w:hAnsi="Arial"/>
          <w:b/>
          <w:bCs/>
          <w:color w:val="1B5E20"/>
          <w:sz w:val="26"/>
          <w:szCs w:val="26"/>
        </w:rPr>
        <w:t xml:space="preserve">Protected Characteristics</w:t>
      </w:r>
    </w:p>
    <w:p>
      <w:pPr>
        <w:spacing w:before="60" w:after="120"/>
      </w:pPr>
      <w:r>
        <w:rPr>
          <w:rFonts w:ascii="Arial" w:cs="Arial" w:eastAsia="Arial" w:hAnsi="Arial"/>
          <w:b w:val="false"/>
          <w:bCs w:val="false"/>
          <w:i w:val="false"/>
          <w:iCs w:val="false"/>
          <w:color w:val="000000"/>
          <w:sz w:val="22"/>
          <w:szCs w:val="22"/>
        </w:rPr>
        <w:t xml:space="preserve">Under the Equality Act 2010, the Council recognises the following protected characteristics:</w:t>
      </w:r>
    </w:p>
    <w:p>
      <w:pPr>
        <w:pStyle w:val="ListParagraph"/>
        <w:numPr>
          <w:ilvl w:val="0"/>
          <w:numId w:val="2"/>
        </w:numPr>
        <w:spacing w:before="40" w:after="60"/>
      </w:pPr>
      <w:r>
        <w:rPr>
          <w:rFonts w:ascii="Arial" w:cs="Arial" w:eastAsia="Arial" w:hAnsi="Arial"/>
          <w:sz w:val="22"/>
          <w:szCs w:val="22"/>
        </w:rPr>
        <w:t xml:space="preserve">Age</w:t>
      </w:r>
    </w:p>
    <w:p>
      <w:pPr>
        <w:pStyle w:val="ListParagraph"/>
        <w:numPr>
          <w:ilvl w:val="0"/>
          <w:numId w:val="2"/>
        </w:numPr>
        <w:spacing w:before="40" w:after="60"/>
      </w:pPr>
      <w:r>
        <w:rPr>
          <w:rFonts w:ascii="Arial" w:cs="Arial" w:eastAsia="Arial" w:hAnsi="Arial"/>
          <w:sz w:val="22"/>
          <w:szCs w:val="22"/>
        </w:rPr>
        <w:t xml:space="preserve">Disability</w:t>
      </w:r>
    </w:p>
    <w:p>
      <w:pPr>
        <w:pStyle w:val="ListParagraph"/>
        <w:numPr>
          <w:ilvl w:val="0"/>
          <w:numId w:val="2"/>
        </w:numPr>
        <w:spacing w:before="40" w:after="60"/>
      </w:pPr>
      <w:r>
        <w:rPr>
          <w:rFonts w:ascii="Arial" w:cs="Arial" w:eastAsia="Arial" w:hAnsi="Arial"/>
          <w:sz w:val="22"/>
          <w:szCs w:val="22"/>
        </w:rPr>
        <w:t xml:space="preserve">Gender reassignment</w:t>
      </w:r>
    </w:p>
    <w:p>
      <w:pPr>
        <w:pStyle w:val="ListParagraph"/>
        <w:numPr>
          <w:ilvl w:val="0"/>
          <w:numId w:val="2"/>
        </w:numPr>
        <w:spacing w:before="40" w:after="60"/>
      </w:pPr>
      <w:r>
        <w:rPr>
          <w:rFonts w:ascii="Arial" w:cs="Arial" w:eastAsia="Arial" w:hAnsi="Arial"/>
          <w:sz w:val="22"/>
          <w:szCs w:val="22"/>
        </w:rPr>
        <w:t xml:space="preserve">Marriage and civil partnership</w:t>
      </w:r>
    </w:p>
    <w:p>
      <w:pPr>
        <w:pStyle w:val="ListParagraph"/>
        <w:numPr>
          <w:ilvl w:val="0"/>
          <w:numId w:val="2"/>
        </w:numPr>
        <w:spacing w:before="40" w:after="60"/>
      </w:pPr>
      <w:r>
        <w:rPr>
          <w:rFonts w:ascii="Arial" w:cs="Arial" w:eastAsia="Arial" w:hAnsi="Arial"/>
          <w:sz w:val="22"/>
          <w:szCs w:val="22"/>
        </w:rPr>
        <w:t xml:space="preserve">Pregnancy and maternity</w:t>
      </w:r>
    </w:p>
    <w:p>
      <w:pPr>
        <w:pStyle w:val="ListParagraph"/>
        <w:numPr>
          <w:ilvl w:val="0"/>
          <w:numId w:val="2"/>
        </w:numPr>
        <w:spacing w:before="40" w:after="60"/>
      </w:pPr>
      <w:r>
        <w:rPr>
          <w:rFonts w:ascii="Arial" w:cs="Arial" w:eastAsia="Arial" w:hAnsi="Arial"/>
          <w:sz w:val="22"/>
          <w:szCs w:val="22"/>
        </w:rPr>
        <w:t xml:space="preserve">Race (including colour, nationality and ethnic origin)</w:t>
      </w:r>
    </w:p>
    <w:p>
      <w:pPr>
        <w:pStyle w:val="ListParagraph"/>
        <w:numPr>
          <w:ilvl w:val="0"/>
          <w:numId w:val="2"/>
        </w:numPr>
        <w:spacing w:before="40" w:after="60"/>
      </w:pPr>
      <w:r>
        <w:rPr>
          <w:rFonts w:ascii="Arial" w:cs="Arial" w:eastAsia="Arial" w:hAnsi="Arial"/>
          <w:sz w:val="22"/>
          <w:szCs w:val="22"/>
        </w:rPr>
        <w:t xml:space="preserve">Religion or belief</w:t>
      </w:r>
    </w:p>
    <w:p>
      <w:pPr>
        <w:pStyle w:val="ListParagraph"/>
        <w:numPr>
          <w:ilvl w:val="0"/>
          <w:numId w:val="2"/>
        </w:numPr>
        <w:spacing w:before="40" w:after="60"/>
      </w:pPr>
      <w:r>
        <w:rPr>
          <w:rFonts w:ascii="Arial" w:cs="Arial" w:eastAsia="Arial" w:hAnsi="Arial"/>
          <w:sz w:val="22"/>
          <w:szCs w:val="22"/>
        </w:rPr>
        <w:t xml:space="preserve">Sex</w:t>
      </w:r>
    </w:p>
    <w:p>
      <w:pPr>
        <w:pStyle w:val="ListParagraph"/>
        <w:numPr>
          <w:ilvl w:val="0"/>
          <w:numId w:val="2"/>
        </w:numPr>
        <w:spacing w:before="40" w:after="60"/>
      </w:pPr>
      <w:r>
        <w:rPr>
          <w:rFonts w:ascii="Arial" w:cs="Arial" w:eastAsia="Arial" w:hAnsi="Arial"/>
          <w:sz w:val="22"/>
          <w:szCs w:val="22"/>
        </w:rPr>
        <w:t xml:space="preserve">Sexual orientation</w:t>
      </w:r>
    </w:p>
    <w:p>
      <w:pPr>
        <w:spacing w:after="120"/>
      </w:pPr>
    </w:p>
    <w:p>
      <w:pPr>
        <w:spacing w:before="240" w:after="120"/>
      </w:pPr>
      <w:r>
        <w:rPr>
          <w:rFonts w:ascii="Arial" w:cs="Arial" w:eastAsia="Arial" w:hAnsi="Arial"/>
          <w:b/>
          <w:bCs/>
          <w:color w:val="1B5E20"/>
          <w:sz w:val="26"/>
          <w:szCs w:val="26"/>
        </w:rPr>
        <w:t xml:space="preserve">Types of Discrimination</w:t>
      </w:r>
    </w:p>
    <w:p>
      <w:pPr>
        <w:spacing w:before="60" w:after="120"/>
      </w:pPr>
      <w:r>
        <w:rPr>
          <w:rFonts w:ascii="Arial" w:cs="Arial" w:eastAsia="Arial" w:hAnsi="Arial"/>
          <w:b w:val="false"/>
          <w:bCs w:val="false"/>
          <w:i w:val="false"/>
          <w:iCs w:val="false"/>
          <w:color w:val="000000"/>
          <w:sz w:val="22"/>
          <w:szCs w:val="22"/>
        </w:rPr>
        <w:t xml:space="preserve">Direct Discrimination: Treating a person less favourably because of a protected characteristic.</w:t>
      </w:r>
    </w:p>
    <w:p>
      <w:pPr>
        <w:spacing w:before="60" w:after="120"/>
      </w:pPr>
      <w:r>
        <w:rPr>
          <w:rFonts w:ascii="Arial" w:cs="Arial" w:eastAsia="Arial" w:hAnsi="Arial"/>
          <w:b w:val="false"/>
          <w:bCs w:val="false"/>
          <w:i w:val="false"/>
          <w:iCs w:val="false"/>
          <w:color w:val="000000"/>
          <w:sz w:val="22"/>
          <w:szCs w:val="22"/>
        </w:rPr>
        <w:t xml:space="preserve">Indirect Discrimination: A policy, criterion or practice that applies to everyone but puts people sharing a protected characteristic at a particular disadvantage and cannot be justified.</w:t>
      </w:r>
    </w:p>
    <w:p>
      <w:pPr>
        <w:spacing w:before="60" w:after="120"/>
      </w:pPr>
      <w:r>
        <w:rPr>
          <w:rFonts w:ascii="Arial" w:cs="Arial" w:eastAsia="Arial" w:hAnsi="Arial"/>
          <w:b w:val="false"/>
          <w:bCs w:val="false"/>
          <w:i w:val="false"/>
          <w:iCs w:val="false"/>
          <w:color w:val="000000"/>
          <w:sz w:val="22"/>
          <w:szCs w:val="22"/>
        </w:rPr>
        <w:t xml:space="preserve">Harassment: Unwanted conduct related to a protected characteristic that violates dignity or creates an intimidating, hostile, degrading or offensive environment.</w:t>
      </w:r>
    </w:p>
    <w:p>
      <w:pPr>
        <w:spacing w:before="60" w:after="120"/>
      </w:pPr>
      <w:r>
        <w:rPr>
          <w:rFonts w:ascii="Arial" w:cs="Arial" w:eastAsia="Arial" w:hAnsi="Arial"/>
          <w:b w:val="false"/>
          <w:bCs w:val="false"/>
          <w:i w:val="false"/>
          <w:iCs w:val="false"/>
          <w:color w:val="000000"/>
          <w:sz w:val="22"/>
          <w:szCs w:val="22"/>
        </w:rPr>
        <w:t xml:space="preserve">Victimisation: Treating a person unfavourably because they have made or supported a complaint related to a protected characteristic.</w:t>
      </w:r>
    </w:p>
    <w:p>
      <w:pPr>
        <w:spacing w:after="120"/>
      </w:pPr>
    </w:p>
    <w:p>
      <w:pPr>
        <w:spacing w:before="240" w:after="120"/>
      </w:pPr>
      <w:r>
        <w:rPr>
          <w:rFonts w:ascii="Arial" w:cs="Arial" w:eastAsia="Arial" w:hAnsi="Arial"/>
          <w:b/>
          <w:bCs/>
          <w:color w:val="1B5E20"/>
          <w:sz w:val="26"/>
          <w:szCs w:val="26"/>
        </w:rPr>
        <w:t xml:space="preserve">Commitments</w:t>
      </w:r>
    </w:p>
    <w:p>
      <w:pPr>
        <w:pStyle w:val="ListParagraph"/>
        <w:numPr>
          <w:ilvl w:val="0"/>
          <w:numId w:val="2"/>
        </w:numPr>
        <w:spacing w:before="40" w:after="60"/>
      </w:pPr>
      <w:r>
        <w:rPr>
          <w:rFonts w:ascii="Arial" w:cs="Arial" w:eastAsia="Arial" w:hAnsi="Arial"/>
          <w:sz w:val="22"/>
          <w:szCs w:val="22"/>
        </w:rPr>
        <w:t xml:space="preserve">Employment decisions (recruitment, promotion, training, dismissal) will be made solely on relevant, assessable merit.</w:t>
      </w:r>
    </w:p>
    <w:p>
      <w:pPr>
        <w:pStyle w:val="ListParagraph"/>
        <w:numPr>
          <w:ilvl w:val="0"/>
          <w:numId w:val="2"/>
        </w:numPr>
        <w:spacing w:before="40" w:after="60"/>
      </w:pPr>
      <w:r>
        <w:rPr>
          <w:rFonts w:ascii="Arial" w:cs="Arial" w:eastAsia="Arial" w:hAnsi="Arial"/>
          <w:sz w:val="22"/>
          <w:szCs w:val="22"/>
        </w:rPr>
        <w:t xml:space="preserve">Job advertisements will include an Equal Opportunities statement.</w:t>
      </w:r>
    </w:p>
    <w:p>
      <w:pPr>
        <w:pStyle w:val="ListParagraph"/>
        <w:numPr>
          <w:ilvl w:val="0"/>
          <w:numId w:val="2"/>
        </w:numPr>
        <w:spacing w:before="40" w:after="60"/>
      </w:pPr>
      <w:r>
        <w:rPr>
          <w:rFonts w:ascii="Arial" w:cs="Arial" w:eastAsia="Arial" w:hAnsi="Arial"/>
          <w:sz w:val="22"/>
          <w:szCs w:val="22"/>
        </w:rPr>
        <w:t xml:space="preserve">The Council will take positive steps to make services and employment accessible to disabled persons.</w:t>
      </w:r>
    </w:p>
    <w:p>
      <w:pPr>
        <w:pStyle w:val="ListParagraph"/>
        <w:numPr>
          <w:ilvl w:val="0"/>
          <w:numId w:val="2"/>
        </w:numPr>
        <w:spacing w:before="40" w:after="60"/>
      </w:pPr>
      <w:r>
        <w:rPr>
          <w:rFonts w:ascii="Arial" w:cs="Arial" w:eastAsia="Arial" w:hAnsi="Arial"/>
          <w:sz w:val="22"/>
          <w:szCs w:val="22"/>
        </w:rPr>
        <w:t xml:space="preserve">Acts of discrimination, harassment or victimisation by employees will result in disciplinary action.</w:t>
      </w:r>
    </w:p>
    <w:p>
      <w:pPr>
        <w:pStyle w:val="ListParagraph"/>
        <w:numPr>
          <w:ilvl w:val="0"/>
          <w:numId w:val="2"/>
        </w:numPr>
        <w:spacing w:before="40" w:after="60"/>
      </w:pPr>
      <w:r>
        <w:rPr>
          <w:rFonts w:ascii="Arial" w:cs="Arial" w:eastAsia="Arial" w:hAnsi="Arial"/>
          <w:sz w:val="22"/>
          <w:szCs w:val="22"/>
        </w:rPr>
        <w:t xml:space="preserve">The Council will promote equality in procurement and commissioning.</w:t>
      </w:r>
    </w:p>
    <w:p>
      <w:pPr>
        <w:spacing w:after="120"/>
      </w:pPr>
    </w:p>
    <w:p>
      <w:pPr>
        <w:spacing w:before="240" w:after="120"/>
      </w:pPr>
      <w:r>
        <w:rPr>
          <w:rFonts w:ascii="Arial" w:cs="Arial" w:eastAsia="Arial" w:hAnsi="Arial"/>
          <w:b/>
          <w:bCs/>
          <w:color w:val="1B5E20"/>
          <w:sz w:val="26"/>
          <w:szCs w:val="26"/>
        </w:rPr>
        <w:t xml:space="preserve">Responsibilities</w:t>
      </w:r>
    </w:p>
    <w:p>
      <w:pPr>
        <w:spacing w:before="60" w:after="120"/>
      </w:pPr>
      <w:r>
        <w:rPr>
          <w:rFonts w:ascii="Arial" w:cs="Arial" w:eastAsia="Arial" w:hAnsi="Arial"/>
          <w:b w:val="false"/>
          <w:bCs w:val="false"/>
          <w:i w:val="false"/>
          <w:iCs w:val="false"/>
          <w:color w:val="000000"/>
          <w:sz w:val="22"/>
          <w:szCs w:val="22"/>
        </w:rPr>
        <w:t xml:space="preserve">Overall responsibility for implementing this policy rests with the Council. Day-to-day responsibility rests with the Parish Clerk. All employees and Councillors are expected to act in accordance with this policy.</w:t>
      </w:r>
    </w:p>
    <w:p>
      <w:pPr>
        <w:spacing w:after="120"/>
      </w:pPr>
    </w:p>
    <w:p>
      <w:pPr>
        <w:spacing w:before="240" w:after="120"/>
      </w:pPr>
      <w:r>
        <w:rPr>
          <w:rFonts w:ascii="Arial" w:cs="Arial" w:eastAsia="Arial" w:hAnsi="Arial"/>
          <w:b/>
          <w:bCs/>
          <w:color w:val="1B5E20"/>
          <w:sz w:val="26"/>
          <w:szCs w:val="26"/>
        </w:rPr>
        <w:t xml:space="preserve">Monitoring and Review</w:t>
      </w:r>
    </w:p>
    <w:p>
      <w:pPr>
        <w:spacing w:before="60" w:after="120"/>
      </w:pPr>
      <w:r>
        <w:rPr>
          <w:rFonts w:ascii="Arial" w:cs="Arial" w:eastAsia="Arial" w:hAnsi="Arial"/>
          <w:b w:val="false"/>
          <w:bCs w:val="false"/>
          <w:i w:val="false"/>
          <w:iCs w:val="false"/>
          <w:color w:val="000000"/>
          <w:sz w:val="22"/>
          <w:szCs w:val="22"/>
        </w:rPr>
        <w:t xml:space="preserve">The Clerk will monitor the effectiveness of this policy annually and report findings to the Council. The policy will be updated in response to changes in legislation or best practice.</w:t>
      </w:r>
    </w:p>
    <w:p>
      <w:pPr>
        <w:spacing w:after="120"/>
      </w:pPr>
    </w:p>
    <w:p>
      <w:pPr>
        <w:spacing w:before="240" w:after="120"/>
      </w:pPr>
      <w:r>
        <w:rPr>
          <w:rFonts w:ascii="Arial" w:cs="Arial" w:eastAsia="Arial" w:hAnsi="Arial"/>
          <w:b/>
          <w:bCs/>
          <w:color w:val="1B5E20"/>
          <w:sz w:val="26"/>
          <w:szCs w:val="26"/>
        </w:rPr>
        <w:t xml:space="preserve">Legislative Framework</w:t>
      </w:r>
    </w:p>
    <w:p>
      <w:pPr>
        <w:pStyle w:val="ListParagraph"/>
        <w:numPr>
          <w:ilvl w:val="0"/>
          <w:numId w:val="2"/>
        </w:numPr>
        <w:spacing w:before="40" w:after="60"/>
      </w:pPr>
      <w:r>
        <w:rPr>
          <w:rFonts w:ascii="Arial" w:cs="Arial" w:eastAsia="Arial" w:hAnsi="Arial"/>
          <w:sz w:val="22"/>
          <w:szCs w:val="22"/>
        </w:rPr>
        <w:t xml:space="preserve">Equality Act 2010</w:t>
      </w:r>
    </w:p>
    <w:p>
      <w:pPr>
        <w:pStyle w:val="ListParagraph"/>
        <w:numPr>
          <w:ilvl w:val="0"/>
          <w:numId w:val="2"/>
        </w:numPr>
        <w:spacing w:before="40" w:after="60"/>
      </w:pPr>
      <w:r>
        <w:rPr>
          <w:rFonts w:ascii="Arial" w:cs="Arial" w:eastAsia="Arial" w:hAnsi="Arial"/>
          <w:sz w:val="22"/>
          <w:szCs w:val="22"/>
        </w:rPr>
        <w:t xml:space="preserve">Human Rights Act 1998</w:t>
      </w:r>
    </w:p>
    <w:p>
      <w:pPr>
        <w:pStyle w:val="ListParagraph"/>
        <w:numPr>
          <w:ilvl w:val="0"/>
          <w:numId w:val="2"/>
        </w:numPr>
        <w:spacing w:before="40" w:after="60"/>
      </w:pPr>
      <w:r>
        <w:rPr>
          <w:rFonts w:ascii="Arial" w:cs="Arial" w:eastAsia="Arial" w:hAnsi="Arial"/>
          <w:sz w:val="22"/>
          <w:szCs w:val="22"/>
        </w:rPr>
        <w:t xml:space="preserve">Public Sector Equality Duty (s.149 Equality Act 2010)</w:t>
      </w:r>
    </w:p>
    <w:p>
      <w:pPr>
        <w:pStyle w:val="ListParagraph"/>
        <w:numPr>
          <w:ilvl w:val="0"/>
          <w:numId w:val="2"/>
        </w:numPr>
        <w:spacing w:before="40" w:after="60"/>
      </w:pPr>
      <w:r>
        <w:rPr>
          <w:rFonts w:ascii="Arial" w:cs="Arial" w:eastAsia="Arial" w:hAnsi="Arial"/>
          <w:sz w:val="22"/>
          <w:szCs w:val="22"/>
        </w:rPr>
        <w:t xml:space="preserve">Worker Protection (Amendment of Equality Act 2010) Act 2023</w:t>
      </w:r>
    </w:p>
    <w:p>
      <w:pPr>
        <w:pStyle w:val="ListParagraph"/>
        <w:numPr>
          <w:ilvl w:val="0"/>
          <w:numId w:val="2"/>
        </w:numPr>
        <w:spacing w:before="40" w:after="60"/>
      </w:pPr>
      <w:r>
        <w:rPr>
          <w:rFonts w:ascii="Arial" w:cs="Arial" w:eastAsia="Arial" w:hAnsi="Arial"/>
          <w:sz w:val="22"/>
          <w:szCs w:val="22"/>
        </w:rPr>
        <w:t xml:space="preserve">Employment Rights Act 1996</w:t>
      </w:r>
    </w:p>
    <w:p>
      <w:pPr>
        <w:spacing w:after="120"/>
      </w:pPr>
    </w:p>
    <w:p>
      <w:pPr>
        <w:spacing w:after="200"/>
      </w:pPr>
    </w:p>
    <w:p>
      <w:pPr>
        <w:spacing w:before="240" w:after="120"/>
      </w:pPr>
      <w:r>
        <w:rPr>
          <w:rFonts w:ascii="Arial" w:cs="Arial" w:eastAsia="Arial" w:hAnsi="Arial"/>
          <w:b/>
          <w:bCs/>
          <w:color w:val="1B5E20"/>
          <w:sz w:val="26"/>
          <w:szCs w:val="26"/>
        </w:rPr>
        <w:t xml:space="preserve">Document Control</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2213"/>
        <w:gridCol w:w="2213"/>
        <w:gridCol w:w="2000"/>
      </w:tblGrid>
      <w:tr>
        <w:tc>
          <w:tcPr>
            <w:tcW w:type="dxa" w:w="12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Version</w:t>
            </w:r>
          </w:p>
        </w:tc>
        <w:tc>
          <w:tcPr>
            <w:tcW w:type="dxa" w:w="14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Date</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Author / Reviewed By</w:t>
            </w:r>
          </w:p>
        </w:tc>
        <w:tc>
          <w:tcPr>
            <w:tcW w:type="dxa" w:w="2213"/>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Approved By</w:t>
            </w:r>
          </w:p>
        </w:tc>
        <w:tc>
          <w:tcPr>
            <w:tcW w:type="dxa" w:w="2000"/>
            <w:tcBorders>
              <w:top w:val="single" w:color="CCCCCC" w:sz="1"/>
              <w:left w:val="single" w:color="CCCCCC" w:sz="1"/>
              <w:bottom w:val="single" w:color="CCCCCC" w:sz="1"/>
              <w:right w:val="single" w:color="CCCCCC" w:sz="1"/>
            </w:tcBorders>
            <w:shd w:fill="1B5E20" w:val="clear"/>
            <w:tcMar>
              <w:top w:type="dxa" w:w="80"/>
              <w:left w:type="dxa" w:w="120"/>
              <w:bottom w:type="dxa" w:w="80"/>
              <w:right w:type="dxa" w:w="120"/>
            </w:tcMar>
          </w:tcPr>
          <w:p>
            <w:r>
              <w:rPr>
                <w:rFonts w:ascii="Arial" w:cs="Arial" w:eastAsia="Arial" w:hAnsi="Arial"/>
                <w:b/>
                <w:bCs/>
                <w:color w:val="FFFFFF"/>
                <w:sz w:val="20"/>
                <w:szCs w:val="20"/>
              </w:rPr>
              <w:t xml:space="preserve">Changes Made</w:t>
            </w:r>
          </w:p>
        </w:tc>
      </w:tr>
      <w:tr>
        <w:tc>
          <w:tcPr>
            <w:tcW w:type="dxa" w:w="12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1.0</w:t>
            </w:r>
          </w:p>
        </w:tc>
        <w:tc>
          <w:tcPr>
            <w:tcW w:type="dxa" w:w="1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March 2026</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Parish Clerk</w:t>
            </w:r>
          </w:p>
        </w:tc>
        <w:tc>
          <w:tcPr>
            <w:tcW w:type="dxa" w:w="2213"/>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Cllr John Littlefair (Chairman)</w:t>
            </w:r>
          </w:p>
        </w:tc>
        <w:tc>
          <w:tcPr>
            <w:tcW w:type="dxa" w:w="2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Initial adoption / 2026 review &amp; update</w:t>
            </w:r>
          </w:p>
        </w:tc>
      </w:tr>
    </w:tbl>
    <w:p>
      <w:pPr>
        <w:spacing w:after="160"/>
      </w:pPr>
    </w:p>
    <w:p>
      <w:pPr>
        <w:spacing w:before="240" w:after="120"/>
      </w:pPr>
      <w:r>
        <w:rPr>
          <w:rFonts w:ascii="Arial" w:cs="Arial" w:eastAsia="Arial" w:hAnsi="Arial"/>
          <w:b/>
          <w:bCs/>
          <w:color w:val="1B5E20"/>
          <w:sz w:val="26"/>
          <w:szCs w:val="26"/>
        </w:rPr>
        <w:t xml:space="preserve">Sign-Off</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56"/>
        <w:gridCol w:w="2256"/>
        <w:gridCol w:w="2257"/>
        <w:gridCol w:w="2257"/>
      </w:tblGrid>
      <w:tr>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Adopted / Reviewed:</w:t>
            </w:r>
          </w:p>
          <w:p>
            <w:r>
              <w:rPr>
                <w:rFonts w:ascii="Arial" w:cs="Arial" w:eastAsia="Arial" w:hAnsi="Arial"/>
                <w:sz w:val="20"/>
                <w:szCs w:val="20"/>
              </w:rPr>
              <w:t xml:space="preserve">March 2026</w:t>
            </w:r>
          </w:p>
        </w:tc>
        <w:tc>
          <w:tcPr>
            <w:tcW w:type="dxa" w:w="2256"/>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Review Due:</w:t>
            </w:r>
          </w:p>
          <w:p>
            <w:r>
              <w:rPr>
                <w:rFonts w:ascii="Arial" w:cs="Arial" w:eastAsia="Arial" w:hAnsi="Arial"/>
                <w:sz w:val="20"/>
                <w:szCs w:val="20"/>
              </w:rPr>
              <w:t xml:space="preserve">January 2027</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Approved By:</w:t>
            </w:r>
          </w:p>
          <w:p>
            <w:r>
              <w:rPr>
                <w:rFonts w:ascii="Arial" w:cs="Arial" w:eastAsia="Arial" w:hAnsi="Arial"/>
                <w:sz w:val="20"/>
                <w:szCs w:val="20"/>
              </w:rPr>
              <w:t xml:space="preserve">Cllr John Littlefair</w:t>
            </w:r>
          </w:p>
        </w:tc>
        <w:tc>
          <w:tcPr>
            <w:tcW w:type="dxa" w:w="2257"/>
            <w:tcBorders>
              <w:top w:val="single" w:color="AAAAAA" w:sz="1"/>
              <w:left w:val="single" w:color="AAAAAA" w:sz="1"/>
              <w:bottom w:val="single" w:color="AAAAAA" w:sz="1"/>
              <w:right w:val="single" w:color="AAAAAA" w:sz="1"/>
            </w:tcBorders>
            <w:shd w:fill="E8F5E9" w:val="clear"/>
            <w:tcMar>
              <w:top w:type="dxa" w:w="100"/>
              <w:left w:type="dxa" w:w="150"/>
              <w:bottom w:type="dxa" w:w="100"/>
              <w:right w:type="dxa" w:w="150"/>
            </w:tcMar>
          </w:tcPr>
          <w:p>
            <w:r>
              <w:rPr>
                <w:rFonts w:ascii="Arial" w:cs="Arial" w:eastAsia="Arial" w:hAnsi="Arial"/>
                <w:b/>
                <w:bCs/>
                <w:color w:val="1B5E20"/>
                <w:sz w:val="20"/>
                <w:szCs w:val="20"/>
              </w:rPr>
              <w:t xml:space="preserve">Role:</w:t>
            </w:r>
          </w:p>
          <w:p>
            <w:r>
              <w:rPr>
                <w:rFonts w:ascii="Arial" w:cs="Arial" w:eastAsia="Arial" w:hAnsi="Arial"/>
                <w:sz w:val="20"/>
                <w:szCs w:val="20"/>
              </w:rPr>
              <w:t xml:space="preserve">Chairman, Hart Parish Council</w:t>
            </w:r>
          </w:p>
        </w:tc>
      </w:tr>
    </w:tbl>
    <w:p>
      <w:pPr>
        <w:spacing w:after="120"/>
      </w:pPr>
    </w:p>
    <w:p>
      <w:pPr>
        <w:spacing w:before="60" w:after="120"/>
      </w:pPr>
      <w:r>
        <w:rPr>
          <w:rFonts w:ascii="Arial" w:cs="Arial" w:eastAsia="Arial" w:hAnsi="Arial"/>
          <w:b w:val="false"/>
          <w:bCs w:val="false"/>
          <w:i/>
          <w:iCs/>
          <w:color w:val="666666"/>
          <w:sz w:val="22"/>
          <w:szCs w:val="22"/>
        </w:rPr>
        <w:t xml:space="preserve">This policy was adopted by resolution of Hart Parish Council. It supersedes all previous versions. The Clerk is responsible for ensuring that this policy is implemented, reviewed annually, and that all staff and councillors are aware of its contents.</w:t>
      </w:r>
    </w:p>
    <w:sectPr>
      <w:headerReference w:type="default" r:id="rId6"/>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AAAAAA" w:sz="4" w:space="1"/>
      </w:pBdr>
      <w:spacing w:after="0"/>
    </w:pPr>
  </w:p>
  <w:p>
    <w:pPr>
      <w:tabs>
        <w:tab w:val="right" w:pos="9026"/>
      </w:tabs>
      <w:spacing w:before="80"/>
    </w:pPr>
    <w:r>
      <w:rPr>
        <w:rFonts w:ascii="Arial" w:cs="Arial" w:eastAsia="Arial" w:hAnsi="Arial"/>
        <w:color w:val="666666"/>
        <w:sz w:val="18"/>
        <w:szCs w:val="18"/>
      </w:rPr>
      <w:t xml:space="preserve">Page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of </w:t>
    </w:r>
    <w:r>
      <w:rPr>
        <w:rFonts w:ascii="Arial" w:cs="Arial" w:eastAsia="Arial" w:hAnsi="Arial"/>
        <w:color w:val="666666"/>
        <w:sz w:val="18"/>
        <w:szCs w:val="18"/>
      </w:rPr>
      <w:fldChar w:fldCharType="begin"/>
      <w:instrText xml:space="preserve">NUMPAGES</w:instrText>
      <w:fldChar w:fldCharType="separate"/>
      <w:fldChar w:fldCharType="end"/>
    </w:r>
    <w:r>
      <w:rPr>
        <w:rFonts w:ascii="Arial" w:cs="Arial" w:eastAsia="Arial" w:hAnsi="Arial"/>
        <w:color w:val="999999"/>
        <w:sz w:val="18"/>
        <w:szCs w:val="18"/>
      </w:rPr>
      <w:t xml:space="preserve">	Hart Parish Council  |  Confidential – For Internal Use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60"/>
    </w:pPr>
    <w:r>
      <w:rPr>
        <w:rFonts w:ascii="Arial" w:cs="Arial" w:eastAsia="Arial" w:hAnsi="Arial"/>
        <w:b/>
        <w:bCs/>
        <w:color w:val="1B5E20"/>
        <w:sz w:val="22"/>
        <w:szCs w:val="22"/>
      </w:rPr>
      <w:t xml:space="preserve">Hart Parish Council  –  Equality &amp; Diversity Policy</w:t>
    </w:r>
    <w:r>
      <w:rPr>
        <w:sz w:val="22"/>
        <w:szCs w:val="22"/>
      </w:rPr>
      <w:t xml:space="preserve">	</w:t>
    </w:r>
    <w:r>
      <w:drawing>
        <wp:inline distT="0" distB="0" distL="0" distR="0">
          <wp:extent cx="457200" cy="4572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57200" cy="457200"/>
                  </a:xfrm>
                  <a:prstGeom prst="rect">
                    <a:avLst/>
                  </a:prstGeom>
                </pic:spPr>
              </pic:pic>
            </a:graphicData>
          </a:graphic>
        </wp:inline>
      </w:drawing>
    </w:r>
  </w:p>
  <w:p>
    <w:pPr>
      <w:pBdr>
        <w:bottom w:val="single" w:color="1B5E20" w:sz="8"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a70629310b03718ec30ebcbd68047e4c1b33634.jp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2026-03-10T14:29:00.422Z</dcterms:created>
  <dcterms:modified xsi:type="dcterms:W3CDTF">2026-03-10T14:29:00.422Z</dcterms:modified>
</cp:coreProperties>
</file>

<file path=docProps/custom.xml><?xml version="1.0" encoding="utf-8"?>
<Properties xmlns="http://schemas.openxmlformats.org/officeDocument/2006/custom-properties" xmlns:vt="http://schemas.openxmlformats.org/officeDocument/2006/docPropsVTypes"/>
</file>