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RISK MANAGEMENT POLICY</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Policy Statement</w:t>
      </w:r>
    </w:p>
    <w:p>
      <w:pPr>
        <w:spacing w:before="60" w:after="120"/>
      </w:pPr>
      <w:r>
        <w:rPr>
          <w:rFonts w:ascii="Arial" w:cs="Arial" w:eastAsia="Arial" w:hAnsi="Arial"/>
          <w:b w:val="false"/>
          <w:bCs w:val="false"/>
          <w:i w:val="false"/>
          <w:iCs w:val="false"/>
          <w:color w:val="000000"/>
          <w:sz w:val="22"/>
          <w:szCs w:val="22"/>
        </w:rPr>
        <w:t xml:space="preserve">Hart Parish Council recognises that effective risk management is fundamental to good governance. The Council is committed to managing risks in a structured, systematic and proportionate way, in order to protect its employees, assets, community and finances, and to maximise the delivery of its objectives.</w:t>
      </w:r>
    </w:p>
    <w:p>
      <w:pPr>
        <w:spacing w:before="60" w:after="120"/>
      </w:pPr>
      <w:r>
        <w:rPr>
          <w:rFonts w:ascii="Arial" w:cs="Arial" w:eastAsia="Arial" w:hAnsi="Arial"/>
          <w:b w:val="false"/>
          <w:bCs w:val="false"/>
          <w:i w:val="false"/>
          <w:iCs w:val="false"/>
          <w:color w:val="000000"/>
          <w:sz w:val="22"/>
          <w:szCs w:val="22"/>
        </w:rPr>
        <w:t xml:space="preserve">The Council acknowledges that some level of risk is inherent in its activities and that its approach should be to manage, rather than entirely eliminate, risk. This policy applies to all activities of the Council.</w:t>
      </w:r>
    </w:p>
    <w:p>
      <w:pPr>
        <w:spacing w:after="120"/>
      </w:pPr>
    </w:p>
    <w:p>
      <w:pPr>
        <w:spacing w:before="240" w:after="120"/>
      </w:pPr>
      <w:r>
        <w:rPr>
          <w:rFonts w:ascii="Arial" w:cs="Arial" w:eastAsia="Arial" w:hAnsi="Arial"/>
          <w:b/>
          <w:bCs/>
          <w:color w:val="1B5E20"/>
          <w:sz w:val="26"/>
          <w:szCs w:val="26"/>
        </w:rPr>
        <w:t xml:space="preserve">Definition</w:t>
      </w:r>
    </w:p>
    <w:p>
      <w:pPr>
        <w:spacing w:before="60" w:after="120"/>
      </w:pPr>
      <w:r>
        <w:rPr>
          <w:rFonts w:ascii="Arial" w:cs="Arial" w:eastAsia="Arial" w:hAnsi="Arial"/>
          <w:b w:val="false"/>
          <w:bCs w:val="false"/>
          <w:i w:val="false"/>
          <w:iCs w:val="false"/>
          <w:color w:val="000000"/>
          <w:sz w:val="22"/>
          <w:szCs w:val="22"/>
        </w:rPr>
        <w:t xml:space="preserve">Risk is the threat that an event or action will adversely affect the Council's ability to achieve its objectives. Risk management is the process by which risks are identified, evaluated and controlled.</w:t>
      </w:r>
    </w:p>
    <w:p>
      <w:pPr>
        <w:spacing w:after="120"/>
      </w:pPr>
    </w:p>
    <w:p>
      <w:pPr>
        <w:spacing w:before="240" w:after="120"/>
      </w:pPr>
      <w:r>
        <w:rPr>
          <w:rFonts w:ascii="Arial" w:cs="Arial" w:eastAsia="Arial" w:hAnsi="Arial"/>
          <w:b/>
          <w:bCs/>
          <w:color w:val="1B5E20"/>
          <w:sz w:val="26"/>
          <w:szCs w:val="26"/>
        </w:rPr>
        <w:t xml:space="preserve">Objectives</w:t>
      </w:r>
    </w:p>
    <w:p>
      <w:pPr>
        <w:pStyle w:val="ListParagraph"/>
        <w:numPr>
          <w:ilvl w:val="0"/>
          <w:numId w:val="2"/>
        </w:numPr>
        <w:spacing w:before="40" w:after="60"/>
      </w:pPr>
      <w:r>
        <w:rPr>
          <w:rFonts w:ascii="Arial" w:cs="Arial" w:eastAsia="Arial" w:hAnsi="Arial"/>
          <w:sz w:val="22"/>
          <w:szCs w:val="22"/>
        </w:rPr>
        <w:t xml:space="preserve">Manage risk in accordance with best practice and proportionately to the Council's size.</w:t>
      </w:r>
    </w:p>
    <w:p>
      <w:pPr>
        <w:pStyle w:val="ListParagraph"/>
        <w:numPr>
          <w:ilvl w:val="0"/>
          <w:numId w:val="2"/>
        </w:numPr>
        <w:spacing w:before="40" w:after="60"/>
      </w:pPr>
      <w:r>
        <w:rPr>
          <w:rFonts w:ascii="Arial" w:cs="Arial" w:eastAsia="Arial" w:hAnsi="Arial"/>
          <w:sz w:val="22"/>
          <w:szCs w:val="22"/>
        </w:rPr>
        <w:t xml:space="preserve">Anticipate and respond to changing social, environmental and legislative requirements.</w:t>
      </w:r>
    </w:p>
    <w:p>
      <w:pPr>
        <w:pStyle w:val="ListParagraph"/>
        <w:numPr>
          <w:ilvl w:val="0"/>
          <w:numId w:val="2"/>
        </w:numPr>
        <w:spacing w:before="40" w:after="60"/>
      </w:pPr>
      <w:r>
        <w:rPr>
          <w:rFonts w:ascii="Arial" w:cs="Arial" w:eastAsia="Arial" w:hAnsi="Arial"/>
          <w:sz w:val="22"/>
          <w:szCs w:val="22"/>
        </w:rPr>
        <w:t xml:space="preserve">Prevent loss, disruption, damage and injury and reduce the cost of risk, thereby maximising resources.</w:t>
      </w:r>
    </w:p>
    <w:p>
      <w:pPr>
        <w:pStyle w:val="ListParagraph"/>
        <w:numPr>
          <w:ilvl w:val="0"/>
          <w:numId w:val="2"/>
        </w:numPr>
        <w:spacing w:before="40" w:after="60"/>
      </w:pPr>
      <w:r>
        <w:rPr>
          <w:rFonts w:ascii="Arial" w:cs="Arial" w:eastAsia="Arial" w:hAnsi="Arial"/>
          <w:sz w:val="22"/>
          <w:szCs w:val="22"/>
        </w:rPr>
        <w:t xml:space="preserve">Inform policy and operational decisions by identifying risks and their likely impact.</w:t>
      </w:r>
    </w:p>
    <w:p>
      <w:pPr>
        <w:pStyle w:val="ListParagraph"/>
        <w:numPr>
          <w:ilvl w:val="0"/>
          <w:numId w:val="2"/>
        </w:numPr>
        <w:spacing w:before="40" w:after="60"/>
      </w:pPr>
      <w:r>
        <w:rPr>
          <w:rFonts w:ascii="Arial" w:cs="Arial" w:eastAsia="Arial" w:hAnsi="Arial"/>
          <w:sz w:val="22"/>
          <w:szCs w:val="22"/>
        </w:rPr>
        <w:t xml:space="preserve">Ensure adequate and appropriate insurance cover is maintained at all times.</w:t>
      </w:r>
    </w:p>
    <w:p>
      <w:pPr>
        <w:spacing w:after="120"/>
      </w:pPr>
    </w:p>
    <w:p>
      <w:pPr>
        <w:spacing w:before="240" w:after="120"/>
      </w:pPr>
      <w:r>
        <w:rPr>
          <w:rFonts w:ascii="Arial" w:cs="Arial" w:eastAsia="Arial" w:hAnsi="Arial"/>
          <w:b/>
          <w:bCs/>
          <w:color w:val="1B5E20"/>
          <w:sz w:val="26"/>
          <w:szCs w:val="26"/>
        </w:rPr>
        <w:t xml:space="preserve">Responsibilities</w:t>
      </w:r>
    </w:p>
    <w:p>
      <w:pPr>
        <w:spacing w:before="60" w:after="120"/>
      </w:pPr>
      <w:r>
        <w:rPr>
          <w:rFonts w:ascii="Arial" w:cs="Arial" w:eastAsia="Arial" w:hAnsi="Arial"/>
          <w:b w:val="false"/>
          <w:bCs w:val="false"/>
          <w:i w:val="false"/>
          <w:iCs w:val="false"/>
          <w:color w:val="000000"/>
          <w:sz w:val="22"/>
          <w:szCs w:val="22"/>
        </w:rPr>
        <w:t xml:space="preserve">The full Council is responsible for risk management. The Responsible Financial Officer (RFO/Clerk) will:</w:t>
      </w:r>
    </w:p>
    <w:p>
      <w:pPr>
        <w:pStyle w:val="ListParagraph"/>
        <w:numPr>
          <w:ilvl w:val="0"/>
          <w:numId w:val="2"/>
        </w:numPr>
        <w:spacing w:before="40" w:after="60"/>
      </w:pPr>
      <w:r>
        <w:rPr>
          <w:rFonts w:ascii="Arial" w:cs="Arial" w:eastAsia="Arial" w:hAnsi="Arial"/>
          <w:sz w:val="22"/>
          <w:szCs w:val="22"/>
        </w:rPr>
        <w:t xml:space="preserve">Prepare a Risk Register for approval by the Council.</w:t>
      </w:r>
    </w:p>
    <w:p>
      <w:pPr>
        <w:pStyle w:val="ListParagraph"/>
        <w:numPr>
          <w:ilvl w:val="0"/>
          <w:numId w:val="2"/>
        </w:numPr>
        <w:spacing w:before="40" w:after="60"/>
      </w:pPr>
      <w:r>
        <w:rPr>
          <w:rFonts w:ascii="Arial" w:cs="Arial" w:eastAsia="Arial" w:hAnsi="Arial"/>
          <w:sz w:val="22"/>
          <w:szCs w:val="22"/>
        </w:rPr>
        <w:t xml:space="preserve">Review the Risk Register at least annually (or more frequently where required).</w:t>
      </w:r>
    </w:p>
    <w:p>
      <w:pPr>
        <w:pStyle w:val="ListParagraph"/>
        <w:numPr>
          <w:ilvl w:val="0"/>
          <w:numId w:val="2"/>
        </w:numPr>
        <w:spacing w:before="40" w:after="60"/>
      </w:pPr>
      <w:r>
        <w:rPr>
          <w:rFonts w:ascii="Arial" w:cs="Arial" w:eastAsia="Arial" w:hAnsi="Arial"/>
          <w:sz w:val="22"/>
          <w:szCs w:val="22"/>
        </w:rPr>
        <w:t xml:space="preserve">Present a draft risk assessment including risk management proposals for any new activity.</w:t>
      </w:r>
    </w:p>
    <w:p>
      <w:pPr>
        <w:pStyle w:val="ListParagraph"/>
        <w:numPr>
          <w:ilvl w:val="0"/>
          <w:numId w:val="2"/>
        </w:numPr>
        <w:spacing w:before="40" w:after="60"/>
      </w:pPr>
      <w:r>
        <w:rPr>
          <w:rFonts w:ascii="Arial" w:cs="Arial" w:eastAsia="Arial" w:hAnsi="Arial"/>
          <w:sz w:val="22"/>
          <w:szCs w:val="22"/>
        </w:rPr>
        <w:t xml:space="preserve">Ensure that adequate insurance arrangements are in place and reviewed annually.</w:t>
      </w:r>
    </w:p>
    <w:p>
      <w:pPr>
        <w:spacing w:after="120"/>
      </w:pPr>
    </w:p>
    <w:p>
      <w:pPr>
        <w:spacing w:before="240" w:after="120"/>
      </w:pPr>
      <w:r>
        <w:rPr>
          <w:rFonts w:ascii="Arial" w:cs="Arial" w:eastAsia="Arial" w:hAnsi="Arial"/>
          <w:b/>
          <w:bCs/>
          <w:color w:val="1B5E20"/>
          <w:sz w:val="26"/>
          <w:szCs w:val="26"/>
        </w:rPr>
        <w:t xml:space="preserve">Risk Register</w:t>
      </w:r>
    </w:p>
    <w:p>
      <w:pPr>
        <w:spacing w:before="60" w:after="120"/>
      </w:pPr>
      <w:r>
        <w:rPr>
          <w:rFonts w:ascii="Arial" w:cs="Arial" w:eastAsia="Arial" w:hAnsi="Arial"/>
          <w:b w:val="false"/>
          <w:bCs w:val="false"/>
          <w:i w:val="false"/>
          <w:iCs w:val="false"/>
          <w:color w:val="000000"/>
          <w:sz w:val="22"/>
          <w:szCs w:val="22"/>
        </w:rPr>
        <w:t xml:space="preserve">The Council will maintain a Risk Register setting out identified risks, their likelihood, potential impact, mitigating controls and the officer responsible. The Risk Register will be reviewed at least annually and presented to the full Council for approval.</w:t>
      </w:r>
    </w:p>
    <w:p>
      <w:pPr>
        <w:spacing w:after="120"/>
      </w:pPr>
    </w:p>
    <w:p>
      <w:pPr>
        <w:spacing w:before="240" w:after="120"/>
      </w:pPr>
      <w:r>
        <w:rPr>
          <w:rFonts w:ascii="Arial" w:cs="Arial" w:eastAsia="Arial" w:hAnsi="Arial"/>
          <w:b/>
          <w:bCs/>
          <w:color w:val="1B5E20"/>
          <w:sz w:val="26"/>
          <w:szCs w:val="26"/>
        </w:rPr>
        <w:t xml:space="preserve">Insurance</w:t>
      </w:r>
    </w:p>
    <w:p>
      <w:pPr>
        <w:spacing w:before="60" w:after="120"/>
      </w:pPr>
      <w:r>
        <w:rPr>
          <w:rFonts w:ascii="Arial" w:cs="Arial" w:eastAsia="Arial" w:hAnsi="Arial"/>
          <w:b w:val="false"/>
          <w:bCs w:val="false"/>
          <w:i w:val="false"/>
          <w:iCs w:val="false"/>
          <w:color w:val="000000"/>
          <w:sz w:val="22"/>
          <w:szCs w:val="22"/>
        </w:rPr>
        <w:t xml:space="preserve">The Council will maintain adequate insurance cover including public liability, employers' liability, money, fidelity guarantee and any other cover appropriate to its activities. Insurance arrangements will be reviewed annually by the RFO.</w:t>
      </w:r>
    </w:p>
    <w:p>
      <w:pPr>
        <w:spacing w:after="120"/>
      </w:pPr>
    </w:p>
    <w:p>
      <w:pPr>
        <w:spacing w:before="240" w:after="120"/>
      </w:pPr>
      <w:r>
        <w:rPr>
          <w:rFonts w:ascii="Arial" w:cs="Arial" w:eastAsia="Arial" w:hAnsi="Arial"/>
          <w:b/>
          <w:bCs/>
          <w:color w:val="1B5E20"/>
          <w:sz w:val="26"/>
          <w:szCs w:val="26"/>
        </w:rPr>
        <w:t xml:space="preserve">Legislative Framework</w:t>
      </w:r>
    </w:p>
    <w:p>
      <w:pPr>
        <w:pStyle w:val="ListParagraph"/>
        <w:numPr>
          <w:ilvl w:val="0"/>
          <w:numId w:val="2"/>
        </w:numPr>
        <w:spacing w:before="40" w:after="60"/>
      </w:pPr>
      <w:r>
        <w:rPr>
          <w:rFonts w:ascii="Arial" w:cs="Arial" w:eastAsia="Arial" w:hAnsi="Arial"/>
          <w:sz w:val="22"/>
          <w:szCs w:val="22"/>
        </w:rPr>
        <w:t xml:space="preserve">Local Government Act 1972</w:t>
      </w:r>
    </w:p>
    <w:p>
      <w:pPr>
        <w:pStyle w:val="ListParagraph"/>
        <w:numPr>
          <w:ilvl w:val="0"/>
          <w:numId w:val="2"/>
        </w:numPr>
        <w:spacing w:before="40" w:after="60"/>
      </w:pPr>
      <w:r>
        <w:rPr>
          <w:rFonts w:ascii="Arial" w:cs="Arial" w:eastAsia="Arial" w:hAnsi="Arial"/>
          <w:sz w:val="22"/>
          <w:szCs w:val="22"/>
        </w:rPr>
        <w:t xml:space="preserve">Health and Safety at Work Act 1974</w:t>
      </w:r>
    </w:p>
    <w:p>
      <w:pPr>
        <w:pStyle w:val="ListParagraph"/>
        <w:numPr>
          <w:ilvl w:val="0"/>
          <w:numId w:val="2"/>
        </w:numPr>
        <w:spacing w:before="40" w:after="60"/>
      </w:pPr>
      <w:r>
        <w:rPr>
          <w:rFonts w:ascii="Arial" w:cs="Arial" w:eastAsia="Arial" w:hAnsi="Arial"/>
          <w:sz w:val="22"/>
          <w:szCs w:val="22"/>
        </w:rPr>
        <w:t xml:space="preserve">Employers' Liability (Compulsory Insurance) Act 1969</w:t>
      </w:r>
    </w:p>
    <w:p>
      <w:pPr>
        <w:pStyle w:val="ListParagraph"/>
        <w:numPr>
          <w:ilvl w:val="0"/>
          <w:numId w:val="2"/>
        </w:numPr>
        <w:spacing w:before="40" w:after="60"/>
      </w:pPr>
      <w:r>
        <w:rPr>
          <w:rFonts w:ascii="Arial" w:cs="Arial" w:eastAsia="Arial" w:hAnsi="Arial"/>
          <w:sz w:val="22"/>
          <w:szCs w:val="22"/>
        </w:rPr>
        <w:t xml:space="preserve">Governance and Accountability in Local Councils – Practitioners' Guide (NALC/SLCC, current edition)</w:t>
      </w:r>
    </w:p>
    <w:p>
      <w:pPr>
        <w:pStyle w:val="ListParagraph"/>
        <w:numPr>
          <w:ilvl w:val="0"/>
          <w:numId w:val="2"/>
        </w:numPr>
        <w:spacing w:before="40" w:after="60"/>
      </w:pPr>
      <w:r>
        <w:rPr>
          <w:rFonts w:ascii="Arial" w:cs="Arial" w:eastAsia="Arial" w:hAnsi="Arial"/>
          <w:sz w:val="22"/>
          <w:szCs w:val="22"/>
        </w:rPr>
        <w:t xml:space="preserve">HM Treasury – Orange Book: Management of Risk in Government (2023)</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Risk Management Policy</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2026-03-10T14:29:00.604Z</dcterms:created>
  <dcterms:modified xsi:type="dcterms:W3CDTF">2026-03-10T14:29:00.604Z</dcterms:modified>
</cp:coreProperties>
</file>

<file path=docProps/custom.xml><?xml version="1.0" encoding="utf-8"?>
<Properties xmlns="http://schemas.openxmlformats.org/officeDocument/2006/custom-properties" xmlns:vt="http://schemas.openxmlformats.org/officeDocument/2006/docPropsVTypes"/>
</file>